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6567D" w:rsidRDefault="0056567D" w:rsidP="0056567D">
      <w:pPr>
        <w:jc w:val="center"/>
        <w:rPr>
          <w:rFonts w:eastAsia="Times New Roman" w:cs="Times New Roman"/>
          <w:b/>
          <w:szCs w:val="28"/>
          <w:lang w:eastAsia="ru-RU"/>
        </w:rPr>
      </w:pPr>
    </w:p>
    <w:p w:rsidR="0056567D" w:rsidRDefault="0056567D" w:rsidP="0056567D">
      <w:pPr>
        <w:jc w:val="center"/>
        <w:rPr>
          <w:rFonts w:eastAsia="Times New Roman" w:cs="Times New Roman"/>
          <w:b/>
          <w:szCs w:val="28"/>
          <w:lang w:eastAsia="ru-RU"/>
        </w:rPr>
      </w:pPr>
    </w:p>
    <w:p w:rsidR="0056567D" w:rsidRDefault="0056567D" w:rsidP="0056567D">
      <w:pPr>
        <w:jc w:val="center"/>
        <w:rPr>
          <w:rFonts w:eastAsia="Times New Roman" w:cs="Times New Roman"/>
          <w:b/>
          <w:szCs w:val="28"/>
          <w:lang w:eastAsia="ru-RU"/>
        </w:rPr>
      </w:pPr>
    </w:p>
    <w:p w:rsidR="0056567D" w:rsidRDefault="0056567D" w:rsidP="0056567D">
      <w:pPr>
        <w:jc w:val="center"/>
        <w:rPr>
          <w:rFonts w:eastAsia="Times New Roman" w:cs="Times New Roman"/>
          <w:b/>
          <w:szCs w:val="28"/>
          <w:lang w:eastAsia="ru-RU"/>
        </w:rPr>
      </w:pPr>
    </w:p>
    <w:p w:rsidR="0056567D" w:rsidRDefault="0056567D" w:rsidP="0056567D">
      <w:pPr>
        <w:jc w:val="center"/>
        <w:rPr>
          <w:rFonts w:eastAsia="Times New Roman" w:cs="Times New Roman"/>
          <w:b/>
          <w:szCs w:val="28"/>
          <w:lang w:eastAsia="ru-RU"/>
        </w:rPr>
      </w:pPr>
    </w:p>
    <w:p w:rsidR="0056567D" w:rsidRDefault="0056567D" w:rsidP="0056567D">
      <w:pPr>
        <w:jc w:val="center"/>
        <w:rPr>
          <w:rFonts w:eastAsia="Times New Roman" w:cs="Times New Roman"/>
          <w:b/>
          <w:szCs w:val="28"/>
          <w:lang w:eastAsia="ru-RU"/>
        </w:rPr>
      </w:pPr>
    </w:p>
    <w:p w:rsidR="0056567D" w:rsidRDefault="0056567D" w:rsidP="0056567D">
      <w:pPr>
        <w:jc w:val="center"/>
        <w:rPr>
          <w:rFonts w:eastAsia="Times New Roman" w:cs="Times New Roman"/>
          <w:b/>
          <w:szCs w:val="28"/>
          <w:lang w:eastAsia="ru-RU"/>
        </w:rPr>
      </w:pPr>
    </w:p>
    <w:p w:rsidR="0056567D" w:rsidRDefault="0056567D" w:rsidP="0056567D">
      <w:pPr>
        <w:jc w:val="center"/>
        <w:rPr>
          <w:rFonts w:eastAsia="Times New Roman" w:cs="Times New Roman"/>
          <w:b/>
          <w:szCs w:val="28"/>
          <w:lang w:eastAsia="ru-RU"/>
        </w:rPr>
      </w:pPr>
    </w:p>
    <w:p w:rsidR="0056567D" w:rsidRDefault="0056567D" w:rsidP="0056567D">
      <w:pPr>
        <w:jc w:val="center"/>
        <w:rPr>
          <w:rFonts w:eastAsia="Times New Roman" w:cs="Times New Roman"/>
          <w:b/>
          <w:szCs w:val="28"/>
          <w:lang w:eastAsia="ru-RU"/>
        </w:rPr>
      </w:pPr>
    </w:p>
    <w:p w:rsidR="0056567D" w:rsidRDefault="0056567D" w:rsidP="0056567D">
      <w:pPr>
        <w:jc w:val="center"/>
        <w:rPr>
          <w:rFonts w:eastAsia="Times New Roman" w:cs="Times New Roman"/>
          <w:b/>
          <w:szCs w:val="28"/>
          <w:lang w:eastAsia="ru-RU"/>
        </w:rPr>
      </w:pPr>
    </w:p>
    <w:p w:rsidR="0056567D" w:rsidRDefault="0056567D" w:rsidP="0056567D">
      <w:pPr>
        <w:jc w:val="center"/>
        <w:rPr>
          <w:rFonts w:eastAsia="Times New Roman" w:cs="Times New Roman"/>
          <w:b/>
          <w:szCs w:val="28"/>
          <w:lang w:eastAsia="ru-RU"/>
        </w:rPr>
      </w:pPr>
    </w:p>
    <w:p w:rsidR="0056567D" w:rsidRDefault="0056567D" w:rsidP="0056567D">
      <w:pPr>
        <w:jc w:val="center"/>
        <w:rPr>
          <w:rFonts w:eastAsia="Times New Roman" w:cs="Times New Roman"/>
          <w:b/>
          <w:szCs w:val="28"/>
          <w:lang w:eastAsia="ru-RU"/>
        </w:rPr>
      </w:pPr>
    </w:p>
    <w:p w:rsidR="0056567D" w:rsidRDefault="002C7B03" w:rsidP="0056567D">
      <w:pPr>
        <w:jc w:val="center"/>
        <w:rPr>
          <w:rFonts w:eastAsia="Times New Roman" w:cs="Times New Roman"/>
          <w:b/>
          <w:szCs w:val="28"/>
          <w:lang w:eastAsia="ru-RU"/>
        </w:rPr>
      </w:pPr>
      <w:r>
        <w:rPr>
          <w:rFonts w:eastAsia="Times New Roman" w:cs="Times New Roman"/>
          <w:b/>
          <w:szCs w:val="28"/>
          <w:lang w:eastAsia="ru-RU"/>
        </w:rPr>
        <w:t xml:space="preserve">Разработка методики оценки уровня медицинской инфляции в РК </w:t>
      </w:r>
    </w:p>
    <w:p w:rsidR="0056567D" w:rsidRDefault="002C7B03" w:rsidP="0056567D">
      <w:pPr>
        <w:jc w:val="center"/>
        <w:rPr>
          <w:rFonts w:eastAsia="Times New Roman" w:cs="Times New Roman"/>
          <w:b/>
          <w:szCs w:val="28"/>
          <w:lang w:eastAsia="ru-RU"/>
        </w:rPr>
      </w:pPr>
      <w:r>
        <w:rPr>
          <w:rFonts w:eastAsia="Times New Roman" w:cs="Times New Roman"/>
          <w:b/>
          <w:szCs w:val="28"/>
          <w:lang w:eastAsia="ru-RU"/>
        </w:rPr>
        <w:t>за 2010-2017 гг. и провед</w:t>
      </w:r>
      <w:r w:rsidR="0056567D">
        <w:rPr>
          <w:rFonts w:eastAsia="Times New Roman" w:cs="Times New Roman"/>
          <w:b/>
          <w:szCs w:val="28"/>
          <w:lang w:eastAsia="ru-RU"/>
        </w:rPr>
        <w:t>ение оценки с учетом передового</w:t>
      </w:r>
    </w:p>
    <w:p w:rsidR="00684A80" w:rsidRPr="00B746FE" w:rsidRDefault="002C7B03" w:rsidP="0056567D">
      <w:pPr>
        <w:jc w:val="center"/>
        <w:rPr>
          <w:rFonts w:eastAsia="Times New Roman" w:cs="Times New Roman"/>
          <w:szCs w:val="28"/>
          <w:lang w:eastAsia="ru-RU"/>
        </w:rPr>
      </w:pPr>
      <w:r>
        <w:rPr>
          <w:rFonts w:eastAsia="Times New Roman" w:cs="Times New Roman"/>
          <w:b/>
          <w:szCs w:val="28"/>
          <w:lang w:eastAsia="ru-RU"/>
        </w:rPr>
        <w:t>международного опыта и проведенных исследований в данной области</w:t>
      </w:r>
    </w:p>
    <w:p w:rsidR="00684A80" w:rsidRDefault="00684A80" w:rsidP="00684A80">
      <w:pPr>
        <w:pStyle w:val="a3"/>
      </w:pPr>
    </w:p>
    <w:p w:rsidR="00684A80" w:rsidRDefault="00684A80" w:rsidP="00684A80"/>
    <w:p w:rsidR="00684A80" w:rsidRDefault="00684A80" w:rsidP="00684A80"/>
    <w:p w:rsidR="00684A80" w:rsidRDefault="00684A80" w:rsidP="00684A80"/>
    <w:p w:rsidR="00684A80" w:rsidRDefault="00684A80" w:rsidP="00684A80"/>
    <w:p w:rsidR="00684A80" w:rsidRDefault="00684A80" w:rsidP="00684A80"/>
    <w:p w:rsidR="00684A80" w:rsidRDefault="00684A80" w:rsidP="00684A80"/>
    <w:p w:rsidR="0056567D" w:rsidRDefault="0056567D" w:rsidP="00684A80"/>
    <w:p w:rsidR="00684A80" w:rsidRPr="00231607" w:rsidRDefault="00684A80" w:rsidP="00684A80"/>
    <w:sdt>
      <w:sdtPr>
        <w:rPr>
          <w:rFonts w:asciiTheme="minorHAnsi" w:eastAsiaTheme="minorHAnsi" w:hAnsiTheme="minorHAnsi" w:cstheme="minorBidi"/>
          <w:b w:val="0"/>
          <w:bCs w:val="0"/>
          <w:color w:val="auto"/>
          <w:sz w:val="22"/>
          <w:szCs w:val="22"/>
          <w:lang w:val="ru-RU" w:eastAsia="en-US"/>
        </w:rPr>
        <w:id w:val="-2119904964"/>
        <w:docPartObj>
          <w:docPartGallery w:val="Table of Contents"/>
          <w:docPartUnique/>
        </w:docPartObj>
      </w:sdtPr>
      <w:sdtEndPr>
        <w:rPr>
          <w:rFonts w:ascii="Times New Roman" w:hAnsi="Times New Roman"/>
          <w:sz w:val="28"/>
        </w:rPr>
      </w:sdtEndPr>
      <w:sdtContent>
        <w:p w:rsidR="00684A80" w:rsidRPr="0056567D" w:rsidRDefault="00684A80" w:rsidP="0056567D">
          <w:pPr>
            <w:pStyle w:val="a6"/>
            <w:rPr>
              <w:rFonts w:asciiTheme="minorHAnsi" w:eastAsiaTheme="minorHAnsi" w:hAnsiTheme="minorHAnsi" w:cstheme="minorBidi"/>
              <w:b w:val="0"/>
              <w:bCs w:val="0"/>
              <w:color w:val="auto"/>
              <w:sz w:val="22"/>
              <w:szCs w:val="22"/>
              <w:lang w:val="ru-RU" w:eastAsia="en-US"/>
            </w:rPr>
          </w:pPr>
          <w:r w:rsidRPr="000B20D0">
            <w:rPr>
              <w:rFonts w:ascii="Times New Roman" w:hAnsi="Times New Roman" w:cs="Times New Roman"/>
              <w:color w:val="auto"/>
              <w:lang w:val="ru-RU" w:eastAsia="en-US"/>
            </w:rPr>
            <w:t>Оглавление</w:t>
          </w:r>
        </w:p>
        <w:p w:rsidR="000041DA" w:rsidRPr="000041DA" w:rsidRDefault="000041DA" w:rsidP="000041DA"/>
        <w:p w:rsidR="00206389" w:rsidRDefault="00CA443F" w:rsidP="00206389">
          <w:pPr>
            <w:autoSpaceDE w:val="0"/>
            <w:autoSpaceDN w:val="0"/>
            <w:adjustRightInd w:val="0"/>
            <w:spacing w:after="0" w:line="360" w:lineRule="auto"/>
            <w:jc w:val="both"/>
            <w:rPr>
              <w:rFonts w:cs="Times New Roman"/>
              <w:b/>
              <w:szCs w:val="28"/>
            </w:rPr>
          </w:pPr>
          <w:r w:rsidRPr="00FE3DAE">
            <w:fldChar w:fldCharType="begin"/>
          </w:r>
          <w:r w:rsidR="00684A80" w:rsidRPr="00FE3DAE">
            <w:instrText xml:space="preserve"> TOC \o "1-3" \h \z \u </w:instrText>
          </w:r>
          <w:r w:rsidRPr="00FE3DAE">
            <w:fldChar w:fldCharType="separate"/>
          </w:r>
          <w:r w:rsidR="00206389">
            <w:rPr>
              <w:rFonts w:cs="Times New Roman"/>
              <w:b/>
              <w:szCs w:val="28"/>
            </w:rPr>
            <w:t>Глава 1. Теоретические основы исследования инфляции</w:t>
          </w:r>
        </w:p>
        <w:p w:rsidR="00206389" w:rsidRPr="00B01203" w:rsidRDefault="00B01203" w:rsidP="00B01203">
          <w:pPr>
            <w:autoSpaceDE w:val="0"/>
            <w:autoSpaceDN w:val="0"/>
            <w:adjustRightInd w:val="0"/>
            <w:spacing w:after="0" w:line="360" w:lineRule="auto"/>
            <w:jc w:val="both"/>
            <w:rPr>
              <w:rFonts w:cs="Times New Roman"/>
              <w:b/>
              <w:szCs w:val="28"/>
            </w:rPr>
          </w:pPr>
          <w:r>
            <w:rPr>
              <w:rFonts w:cs="Times New Roman"/>
              <w:szCs w:val="28"/>
            </w:rPr>
            <w:t xml:space="preserve">1.1 </w:t>
          </w:r>
          <w:r w:rsidR="00206389" w:rsidRPr="00B01203">
            <w:rPr>
              <w:rFonts w:cs="Times New Roman"/>
              <w:szCs w:val="28"/>
            </w:rPr>
            <w:t>Введение. Понятие инфляции и факторы, влияющие на её формирование…………………………………………………………</w:t>
          </w:r>
          <w:r w:rsidR="000041DA">
            <w:rPr>
              <w:rFonts w:cs="Times New Roman"/>
              <w:szCs w:val="28"/>
            </w:rPr>
            <w:t>………….7</w:t>
          </w:r>
        </w:p>
        <w:p w:rsidR="00206389" w:rsidRPr="00B01203" w:rsidRDefault="00B01203" w:rsidP="00B01203">
          <w:pPr>
            <w:autoSpaceDE w:val="0"/>
            <w:autoSpaceDN w:val="0"/>
            <w:adjustRightInd w:val="0"/>
            <w:spacing w:after="0" w:line="360" w:lineRule="auto"/>
            <w:jc w:val="both"/>
            <w:rPr>
              <w:rFonts w:cs="Times New Roman"/>
              <w:b/>
              <w:szCs w:val="28"/>
            </w:rPr>
          </w:pPr>
          <w:r>
            <w:rPr>
              <w:rFonts w:cs="Times New Roman"/>
              <w:szCs w:val="28"/>
            </w:rPr>
            <w:t xml:space="preserve">1.2 </w:t>
          </w:r>
          <w:r w:rsidR="00206389" w:rsidRPr="00B01203">
            <w:rPr>
              <w:rFonts w:cs="Times New Roman"/>
              <w:szCs w:val="28"/>
            </w:rPr>
            <w:t xml:space="preserve"> Обзор существующих методик расчета уровня инфляции</w:t>
          </w:r>
          <w:r w:rsidRPr="00B01203">
            <w:rPr>
              <w:rFonts w:cs="Times New Roman"/>
              <w:szCs w:val="28"/>
            </w:rPr>
            <w:t xml:space="preserve"> и их </w:t>
          </w:r>
          <w:r w:rsidR="00206389" w:rsidRPr="00B01203">
            <w:rPr>
              <w:rFonts w:cs="Times New Roman"/>
              <w:szCs w:val="28"/>
            </w:rPr>
            <w:t>применение…………………………………………………………………</w:t>
          </w:r>
          <w:r w:rsidR="000041DA">
            <w:rPr>
              <w:rFonts w:cs="Times New Roman"/>
              <w:szCs w:val="28"/>
            </w:rPr>
            <w:t>…….8</w:t>
          </w:r>
        </w:p>
        <w:p w:rsidR="00206389" w:rsidRPr="00B01203" w:rsidRDefault="00B01203" w:rsidP="00B01203">
          <w:pPr>
            <w:autoSpaceDE w:val="0"/>
            <w:autoSpaceDN w:val="0"/>
            <w:adjustRightInd w:val="0"/>
            <w:spacing w:after="0" w:line="360" w:lineRule="auto"/>
            <w:jc w:val="both"/>
            <w:rPr>
              <w:rFonts w:cs="Times New Roman"/>
              <w:b/>
              <w:szCs w:val="28"/>
            </w:rPr>
          </w:pPr>
          <w:r>
            <w:rPr>
              <w:rFonts w:cs="Times New Roman"/>
              <w:szCs w:val="28"/>
            </w:rPr>
            <w:t xml:space="preserve">1.3 </w:t>
          </w:r>
          <w:r w:rsidR="00206389" w:rsidRPr="00B01203">
            <w:rPr>
              <w:rFonts w:cs="Times New Roman"/>
              <w:szCs w:val="28"/>
            </w:rPr>
            <w:t xml:space="preserve">Сравнительный анализ индикаторов </w:t>
          </w:r>
          <w:r w:rsidR="00206389" w:rsidRPr="00B01203">
            <w:rPr>
              <w:rFonts w:cs="Times New Roman"/>
              <w:szCs w:val="28"/>
              <w:lang w:val="en-US"/>
            </w:rPr>
            <w:t>CPI</w:t>
          </w:r>
          <w:r w:rsidR="00206389" w:rsidRPr="00B01203">
            <w:rPr>
              <w:rFonts w:cs="Times New Roman"/>
              <w:szCs w:val="28"/>
            </w:rPr>
            <w:t xml:space="preserve"> и </w:t>
          </w:r>
          <w:r w:rsidR="00206389" w:rsidRPr="00B01203">
            <w:rPr>
              <w:rFonts w:cs="Times New Roman"/>
              <w:szCs w:val="28"/>
              <w:lang w:val="en-US"/>
            </w:rPr>
            <w:t>PCE</w:t>
          </w:r>
          <w:r w:rsidR="00206389" w:rsidRPr="00B01203">
            <w:rPr>
              <w:rFonts w:cs="Times New Roman"/>
              <w:szCs w:val="28"/>
            </w:rPr>
            <w:t xml:space="preserve"> для учета инфляции</w:t>
          </w:r>
          <w:r w:rsidR="000041DA">
            <w:rPr>
              <w:rFonts w:cs="Times New Roman"/>
              <w:szCs w:val="28"/>
            </w:rPr>
            <w:t>…...15</w:t>
          </w:r>
        </w:p>
        <w:p w:rsidR="00206389" w:rsidRDefault="00B01203" w:rsidP="00206389">
          <w:pPr>
            <w:autoSpaceDE w:val="0"/>
            <w:autoSpaceDN w:val="0"/>
            <w:adjustRightInd w:val="0"/>
            <w:spacing w:after="0" w:line="360" w:lineRule="auto"/>
            <w:jc w:val="both"/>
            <w:rPr>
              <w:rFonts w:cs="Times New Roman"/>
              <w:b/>
              <w:szCs w:val="28"/>
            </w:rPr>
          </w:pPr>
          <w:r>
            <w:rPr>
              <w:rFonts w:cs="Times New Roman"/>
              <w:szCs w:val="28"/>
            </w:rPr>
            <w:t xml:space="preserve">1.4 </w:t>
          </w:r>
          <w:r w:rsidR="00206389" w:rsidRPr="00B01203">
            <w:rPr>
              <w:rFonts w:cs="Times New Roman"/>
              <w:szCs w:val="28"/>
            </w:rPr>
            <w:t xml:space="preserve">Опыт учета медицинской инфляции в США и пример практического применения </w:t>
          </w:r>
          <w:r w:rsidR="00206389" w:rsidRPr="00B01203">
            <w:rPr>
              <w:rFonts w:cs="Times New Roman"/>
              <w:szCs w:val="28"/>
              <w:lang w:val="en-US"/>
            </w:rPr>
            <w:t>PCE</w:t>
          </w:r>
          <w:r w:rsidR="000041DA">
            <w:rPr>
              <w:rFonts w:cs="Times New Roman"/>
              <w:szCs w:val="28"/>
            </w:rPr>
            <w:t>…………………………………………………………………17</w:t>
          </w:r>
        </w:p>
        <w:p w:rsidR="00206389" w:rsidRDefault="00206389" w:rsidP="00206389">
          <w:pPr>
            <w:autoSpaceDE w:val="0"/>
            <w:autoSpaceDN w:val="0"/>
            <w:adjustRightInd w:val="0"/>
            <w:spacing w:after="0" w:line="360" w:lineRule="auto"/>
            <w:jc w:val="both"/>
            <w:rPr>
              <w:rFonts w:cs="Times New Roman"/>
              <w:b/>
              <w:szCs w:val="28"/>
            </w:rPr>
          </w:pPr>
          <w:r w:rsidRPr="00386EC4">
            <w:rPr>
              <w:rFonts w:cs="Times New Roman"/>
              <w:b/>
              <w:szCs w:val="28"/>
            </w:rPr>
            <w:t xml:space="preserve">Глава 2. Анализ медицинской </w:t>
          </w:r>
          <w:r w:rsidR="000041DA">
            <w:rPr>
              <w:rFonts w:cs="Times New Roman"/>
              <w:b/>
              <w:szCs w:val="28"/>
            </w:rPr>
            <w:t>инфляции в Республике Казахстан……..18</w:t>
          </w:r>
        </w:p>
        <w:p w:rsidR="00B01203" w:rsidRDefault="00CD184A" w:rsidP="00206389">
          <w:pPr>
            <w:autoSpaceDE w:val="0"/>
            <w:autoSpaceDN w:val="0"/>
            <w:adjustRightInd w:val="0"/>
            <w:spacing w:after="0" w:line="360" w:lineRule="auto"/>
            <w:jc w:val="both"/>
            <w:rPr>
              <w:rFonts w:cs="Times New Roman"/>
              <w:b/>
              <w:szCs w:val="28"/>
            </w:rPr>
          </w:pPr>
          <w:r>
            <w:rPr>
              <w:rFonts w:cs="Times New Roman"/>
              <w:b/>
              <w:szCs w:val="28"/>
            </w:rPr>
            <w:t>Методика</w:t>
          </w:r>
          <w:r w:rsidR="00206389" w:rsidRPr="00F52880">
            <w:rPr>
              <w:rFonts w:cs="Times New Roman"/>
              <w:b/>
              <w:szCs w:val="28"/>
            </w:rPr>
            <w:t xml:space="preserve"> оценки уровня медицинской инфляции в Р</w:t>
          </w:r>
          <w:r w:rsidR="00F12AEE">
            <w:rPr>
              <w:rFonts w:cs="Times New Roman"/>
              <w:b/>
              <w:szCs w:val="28"/>
            </w:rPr>
            <w:t xml:space="preserve">еспублике </w:t>
          </w:r>
          <w:r w:rsidR="00206389" w:rsidRPr="00F52880">
            <w:rPr>
              <w:rFonts w:cs="Times New Roman"/>
              <w:b/>
              <w:szCs w:val="28"/>
            </w:rPr>
            <w:t>К</w:t>
          </w:r>
          <w:r w:rsidR="00F12AEE">
            <w:rPr>
              <w:rFonts w:cs="Times New Roman"/>
              <w:b/>
              <w:szCs w:val="28"/>
            </w:rPr>
            <w:t>азахстан</w:t>
          </w:r>
          <w:r w:rsidR="000041DA">
            <w:rPr>
              <w:rFonts w:cs="Times New Roman"/>
              <w:b/>
              <w:szCs w:val="28"/>
            </w:rPr>
            <w:t>…………………………………………………</w:t>
          </w:r>
          <w:r>
            <w:rPr>
              <w:rFonts w:cs="Times New Roman"/>
              <w:b/>
              <w:szCs w:val="28"/>
            </w:rPr>
            <w:t>……………………</w:t>
          </w:r>
          <w:r w:rsidR="00F12AEE">
            <w:rPr>
              <w:rFonts w:cs="Times New Roman"/>
              <w:b/>
              <w:szCs w:val="28"/>
            </w:rPr>
            <w:t>...</w:t>
          </w:r>
          <w:r w:rsidR="000041DA">
            <w:rPr>
              <w:rFonts w:cs="Times New Roman"/>
              <w:b/>
              <w:szCs w:val="28"/>
            </w:rPr>
            <w:t>30</w:t>
          </w:r>
        </w:p>
        <w:p w:rsidR="00B01203" w:rsidRPr="0069119F" w:rsidRDefault="00206389" w:rsidP="00206389">
          <w:pPr>
            <w:autoSpaceDE w:val="0"/>
            <w:autoSpaceDN w:val="0"/>
            <w:adjustRightInd w:val="0"/>
            <w:spacing w:after="0" w:line="360" w:lineRule="auto"/>
            <w:jc w:val="both"/>
            <w:rPr>
              <w:rFonts w:cs="Times New Roman"/>
              <w:b/>
              <w:szCs w:val="28"/>
            </w:rPr>
          </w:pPr>
          <w:r>
            <w:rPr>
              <w:rFonts w:cs="Times New Roman"/>
              <w:b/>
              <w:szCs w:val="28"/>
            </w:rPr>
            <w:t>Использованная литература</w:t>
          </w:r>
          <w:r w:rsidR="00076150">
            <w:rPr>
              <w:rFonts w:cs="Times New Roman"/>
              <w:b/>
              <w:szCs w:val="28"/>
            </w:rPr>
            <w:t xml:space="preserve">………………………………………………… </w:t>
          </w:r>
          <w:r w:rsidR="0069119F">
            <w:rPr>
              <w:rFonts w:cs="Times New Roman"/>
              <w:b/>
              <w:szCs w:val="28"/>
              <w:lang w:val="en-US"/>
            </w:rPr>
            <w:t>6</w:t>
          </w:r>
          <w:r w:rsidR="0069119F">
            <w:rPr>
              <w:rFonts w:cs="Times New Roman"/>
              <w:b/>
              <w:szCs w:val="28"/>
            </w:rPr>
            <w:t>2</w:t>
          </w:r>
        </w:p>
        <w:p w:rsidR="00206389" w:rsidRPr="0069119F" w:rsidRDefault="00206389" w:rsidP="00206389">
          <w:pPr>
            <w:autoSpaceDE w:val="0"/>
            <w:autoSpaceDN w:val="0"/>
            <w:adjustRightInd w:val="0"/>
            <w:spacing w:after="0" w:line="360" w:lineRule="auto"/>
            <w:jc w:val="both"/>
            <w:rPr>
              <w:rFonts w:cs="Times New Roman"/>
              <w:b/>
              <w:szCs w:val="28"/>
            </w:rPr>
          </w:pPr>
          <w:r>
            <w:rPr>
              <w:rFonts w:cs="Times New Roman"/>
              <w:b/>
              <w:szCs w:val="28"/>
            </w:rPr>
            <w:t>Приложения</w:t>
          </w:r>
          <w:r w:rsidR="00076150">
            <w:rPr>
              <w:rFonts w:cs="Times New Roman"/>
              <w:b/>
              <w:szCs w:val="28"/>
            </w:rPr>
            <w:t>……………………………………………………………………..</w:t>
          </w:r>
          <w:r w:rsidR="0069119F">
            <w:rPr>
              <w:rFonts w:cs="Times New Roman"/>
              <w:b/>
              <w:szCs w:val="28"/>
              <w:lang w:val="en-US"/>
            </w:rPr>
            <w:t>6</w:t>
          </w:r>
          <w:r w:rsidR="0069119F">
            <w:rPr>
              <w:rFonts w:cs="Times New Roman"/>
              <w:b/>
              <w:szCs w:val="28"/>
            </w:rPr>
            <w:t>3</w:t>
          </w:r>
        </w:p>
        <w:p w:rsidR="00684A80" w:rsidRPr="00FE3DAE" w:rsidRDefault="00684A80" w:rsidP="00206389">
          <w:pPr>
            <w:pStyle w:val="11"/>
            <w:spacing w:after="0" w:line="360" w:lineRule="auto"/>
            <w:rPr>
              <w:rFonts w:asciiTheme="minorHAnsi" w:eastAsiaTheme="minorEastAsia" w:hAnsiTheme="minorHAnsi"/>
              <w:noProof/>
              <w:sz w:val="22"/>
              <w:lang w:eastAsia="ru-RU"/>
            </w:rPr>
          </w:pPr>
        </w:p>
        <w:p w:rsidR="00206389" w:rsidRDefault="00CA443F" w:rsidP="00206389">
          <w:pPr>
            <w:spacing w:after="0" w:line="360" w:lineRule="auto"/>
          </w:pPr>
          <w:r w:rsidRPr="00FE3DAE">
            <w:rPr>
              <w:rFonts w:cs="Times New Roman"/>
              <w:bCs/>
              <w:szCs w:val="28"/>
            </w:rPr>
            <w:fldChar w:fldCharType="end"/>
          </w:r>
        </w:p>
      </w:sdtContent>
    </w:sdt>
    <w:p w:rsidR="00206389" w:rsidRDefault="00206389">
      <w:r>
        <w:br w:type="page"/>
      </w:r>
    </w:p>
    <w:p w:rsidR="00206389" w:rsidRDefault="00206389" w:rsidP="00206389">
      <w:pPr>
        <w:pStyle w:val="1"/>
        <w:spacing w:before="0" w:after="240" w:line="240" w:lineRule="auto"/>
        <w:rPr>
          <w:rFonts w:ascii="Times New Roman" w:hAnsi="Times New Roman" w:cs="Times New Roman"/>
          <w:color w:val="auto"/>
        </w:rPr>
      </w:pPr>
      <w:bookmarkStart w:id="0" w:name="_Toc479072348"/>
      <w:r w:rsidRPr="00F623B9">
        <w:rPr>
          <w:rFonts w:ascii="Times New Roman" w:hAnsi="Times New Roman" w:cs="Times New Roman"/>
          <w:color w:val="auto"/>
        </w:rPr>
        <w:lastRenderedPageBreak/>
        <w:t>Список сокращений и обозначений</w:t>
      </w:r>
      <w:bookmarkEnd w:id="0"/>
    </w:p>
    <w:p w:rsidR="00206389" w:rsidRPr="00231607" w:rsidRDefault="00206389" w:rsidP="00206389"/>
    <w:tbl>
      <w:tblPr>
        <w:tblW w:w="0" w:type="auto"/>
        <w:tblLook w:val="04A0" w:firstRow="1" w:lastRow="0" w:firstColumn="1" w:lastColumn="0" w:noHBand="0" w:noVBand="1"/>
      </w:tblPr>
      <w:tblGrid>
        <w:gridCol w:w="1932"/>
        <w:gridCol w:w="7422"/>
      </w:tblGrid>
      <w:tr w:rsidR="00206389" w:rsidRPr="0079668C" w:rsidTr="00076150">
        <w:tc>
          <w:tcPr>
            <w:tcW w:w="1951" w:type="dxa"/>
          </w:tcPr>
          <w:p w:rsidR="00206389" w:rsidRPr="0079668C" w:rsidRDefault="00206389" w:rsidP="00076150">
            <w:pPr>
              <w:contextualSpacing/>
              <w:rPr>
                <w:rFonts w:cs="Times New Roman"/>
                <w:szCs w:val="28"/>
              </w:rPr>
            </w:pPr>
            <w:r w:rsidRPr="0079668C">
              <w:rPr>
                <w:rFonts w:cs="Times New Roman"/>
                <w:szCs w:val="28"/>
              </w:rPr>
              <w:t>ВОЗ</w:t>
            </w:r>
          </w:p>
        </w:tc>
        <w:tc>
          <w:tcPr>
            <w:tcW w:w="7544" w:type="dxa"/>
          </w:tcPr>
          <w:p w:rsidR="00206389" w:rsidRPr="0079668C" w:rsidRDefault="00206389" w:rsidP="00076150">
            <w:pPr>
              <w:contextualSpacing/>
              <w:rPr>
                <w:rFonts w:cs="Times New Roman"/>
                <w:szCs w:val="28"/>
              </w:rPr>
            </w:pPr>
            <w:r w:rsidRPr="0079668C">
              <w:rPr>
                <w:rFonts w:cs="Times New Roman"/>
                <w:szCs w:val="28"/>
              </w:rPr>
              <w:t>Всемирная организация здравоохранения</w:t>
            </w:r>
          </w:p>
        </w:tc>
      </w:tr>
      <w:tr w:rsidR="00C96165" w:rsidRPr="0079668C" w:rsidTr="00076150">
        <w:tc>
          <w:tcPr>
            <w:tcW w:w="1951" w:type="dxa"/>
          </w:tcPr>
          <w:p w:rsidR="00C96165" w:rsidRPr="0079668C" w:rsidRDefault="00C96165" w:rsidP="00076150">
            <w:pPr>
              <w:contextualSpacing/>
              <w:rPr>
                <w:rFonts w:cs="Times New Roman"/>
                <w:szCs w:val="28"/>
              </w:rPr>
            </w:pPr>
            <w:r>
              <w:rPr>
                <w:rFonts w:cs="Times New Roman"/>
                <w:szCs w:val="28"/>
              </w:rPr>
              <w:t>ИПЦ</w:t>
            </w:r>
          </w:p>
        </w:tc>
        <w:tc>
          <w:tcPr>
            <w:tcW w:w="7544" w:type="dxa"/>
          </w:tcPr>
          <w:p w:rsidR="00C96165" w:rsidRPr="0079668C" w:rsidRDefault="00C96165" w:rsidP="00076150">
            <w:pPr>
              <w:contextualSpacing/>
              <w:rPr>
                <w:rFonts w:cs="Times New Roman"/>
                <w:szCs w:val="28"/>
              </w:rPr>
            </w:pPr>
            <w:r>
              <w:rPr>
                <w:rFonts w:cs="Times New Roman"/>
                <w:szCs w:val="28"/>
              </w:rPr>
              <w:t>Индекс потребительских цен</w:t>
            </w:r>
          </w:p>
        </w:tc>
      </w:tr>
      <w:tr w:rsidR="00C96165" w:rsidRPr="0079668C" w:rsidTr="00076150">
        <w:tc>
          <w:tcPr>
            <w:tcW w:w="1951" w:type="dxa"/>
          </w:tcPr>
          <w:p w:rsidR="00C96165" w:rsidRPr="0079668C" w:rsidRDefault="00C96165" w:rsidP="00076150">
            <w:pPr>
              <w:contextualSpacing/>
              <w:rPr>
                <w:rFonts w:cs="Times New Roman"/>
                <w:szCs w:val="28"/>
              </w:rPr>
            </w:pPr>
            <w:r>
              <w:rPr>
                <w:rFonts w:cs="Times New Roman"/>
                <w:szCs w:val="28"/>
              </w:rPr>
              <w:t>ИЦП</w:t>
            </w:r>
          </w:p>
        </w:tc>
        <w:tc>
          <w:tcPr>
            <w:tcW w:w="7544" w:type="dxa"/>
          </w:tcPr>
          <w:p w:rsidR="00C96165" w:rsidRPr="0079668C" w:rsidRDefault="00C96165" w:rsidP="00076150">
            <w:pPr>
              <w:contextualSpacing/>
              <w:rPr>
                <w:rFonts w:cs="Times New Roman"/>
                <w:szCs w:val="28"/>
              </w:rPr>
            </w:pPr>
            <w:r>
              <w:rPr>
                <w:rFonts w:cs="Times New Roman"/>
                <w:szCs w:val="28"/>
              </w:rPr>
              <w:t>Индекс цен производителя</w:t>
            </w:r>
          </w:p>
        </w:tc>
      </w:tr>
      <w:tr w:rsidR="00504C6D" w:rsidRPr="0079668C" w:rsidTr="00076150">
        <w:tc>
          <w:tcPr>
            <w:tcW w:w="1951" w:type="dxa"/>
          </w:tcPr>
          <w:p w:rsidR="00504C6D" w:rsidRPr="0079668C" w:rsidRDefault="00504C6D" w:rsidP="00076150">
            <w:pPr>
              <w:contextualSpacing/>
              <w:jc w:val="both"/>
              <w:rPr>
                <w:rFonts w:cs="Times New Roman"/>
                <w:szCs w:val="28"/>
              </w:rPr>
            </w:pPr>
            <w:r>
              <w:rPr>
                <w:rFonts w:cs="Times New Roman"/>
                <w:szCs w:val="28"/>
              </w:rPr>
              <w:t>КС МНЭ</w:t>
            </w:r>
          </w:p>
        </w:tc>
        <w:tc>
          <w:tcPr>
            <w:tcW w:w="7544" w:type="dxa"/>
          </w:tcPr>
          <w:p w:rsidR="00504C6D" w:rsidRPr="0079668C" w:rsidRDefault="00504C6D" w:rsidP="00076150">
            <w:pPr>
              <w:contextualSpacing/>
              <w:jc w:val="both"/>
              <w:rPr>
                <w:rFonts w:cs="Times New Roman"/>
                <w:szCs w:val="28"/>
              </w:rPr>
            </w:pPr>
            <w:r>
              <w:rPr>
                <w:rFonts w:cs="Times New Roman"/>
                <w:szCs w:val="28"/>
              </w:rPr>
              <w:t>Комитет по статистике Министерства национальной экономики Республики Казахстан</w:t>
            </w:r>
          </w:p>
        </w:tc>
      </w:tr>
      <w:tr w:rsidR="00504C6D" w:rsidRPr="0079668C" w:rsidTr="00076150">
        <w:tc>
          <w:tcPr>
            <w:tcW w:w="1951" w:type="dxa"/>
          </w:tcPr>
          <w:p w:rsidR="00504C6D" w:rsidRDefault="00504C6D" w:rsidP="00076150">
            <w:pPr>
              <w:contextualSpacing/>
              <w:rPr>
                <w:rFonts w:cs="Times New Roman"/>
                <w:szCs w:val="28"/>
              </w:rPr>
            </w:pPr>
            <w:r>
              <w:rPr>
                <w:rFonts w:cs="Times New Roman"/>
                <w:szCs w:val="28"/>
              </w:rPr>
              <w:t>МОТ</w:t>
            </w:r>
          </w:p>
        </w:tc>
        <w:tc>
          <w:tcPr>
            <w:tcW w:w="7544" w:type="dxa"/>
          </w:tcPr>
          <w:p w:rsidR="00504C6D" w:rsidRDefault="00504C6D" w:rsidP="00076150">
            <w:pPr>
              <w:contextualSpacing/>
              <w:rPr>
                <w:rFonts w:cs="Times New Roman"/>
                <w:szCs w:val="28"/>
              </w:rPr>
            </w:pPr>
            <w:r>
              <w:rPr>
                <w:rFonts w:cs="Times New Roman"/>
                <w:szCs w:val="28"/>
              </w:rPr>
              <w:t>Международная организация труда</w:t>
            </w:r>
          </w:p>
        </w:tc>
      </w:tr>
      <w:tr w:rsidR="00504C6D" w:rsidRPr="0079668C" w:rsidTr="00076150">
        <w:tc>
          <w:tcPr>
            <w:tcW w:w="1951" w:type="dxa"/>
          </w:tcPr>
          <w:p w:rsidR="00504C6D" w:rsidRDefault="00504C6D" w:rsidP="00076150">
            <w:pPr>
              <w:contextualSpacing/>
              <w:rPr>
                <w:rFonts w:cs="Times New Roman"/>
                <w:szCs w:val="28"/>
              </w:rPr>
            </w:pPr>
            <w:r>
              <w:rPr>
                <w:rFonts w:cs="Times New Roman"/>
                <w:szCs w:val="28"/>
              </w:rPr>
              <w:t>МВФ</w:t>
            </w:r>
          </w:p>
        </w:tc>
        <w:tc>
          <w:tcPr>
            <w:tcW w:w="7544" w:type="dxa"/>
          </w:tcPr>
          <w:p w:rsidR="00504C6D" w:rsidRDefault="00504C6D" w:rsidP="00076150">
            <w:pPr>
              <w:contextualSpacing/>
              <w:rPr>
                <w:rFonts w:cs="Times New Roman"/>
                <w:szCs w:val="28"/>
              </w:rPr>
            </w:pPr>
            <w:r>
              <w:rPr>
                <w:rFonts w:cs="Times New Roman"/>
                <w:szCs w:val="28"/>
              </w:rPr>
              <w:t>Международный валютный фонд</w:t>
            </w:r>
          </w:p>
        </w:tc>
      </w:tr>
      <w:tr w:rsidR="00504C6D" w:rsidRPr="0079668C" w:rsidTr="00076150">
        <w:tc>
          <w:tcPr>
            <w:tcW w:w="1951" w:type="dxa"/>
          </w:tcPr>
          <w:p w:rsidR="00504C6D" w:rsidRPr="00A25CF9" w:rsidRDefault="00504C6D" w:rsidP="00076150">
            <w:pPr>
              <w:contextualSpacing/>
              <w:jc w:val="both"/>
              <w:rPr>
                <w:rFonts w:cs="Times New Roman"/>
                <w:szCs w:val="28"/>
                <w:lang w:val="en-US"/>
              </w:rPr>
            </w:pPr>
            <w:r w:rsidRPr="0079668C">
              <w:rPr>
                <w:rFonts w:cs="Times New Roman"/>
                <w:szCs w:val="28"/>
              </w:rPr>
              <w:t>МЗ РК</w:t>
            </w:r>
          </w:p>
        </w:tc>
        <w:tc>
          <w:tcPr>
            <w:tcW w:w="7544" w:type="dxa"/>
          </w:tcPr>
          <w:p w:rsidR="00504C6D" w:rsidRPr="00A55362" w:rsidRDefault="00504C6D" w:rsidP="00076150">
            <w:pPr>
              <w:contextualSpacing/>
              <w:jc w:val="both"/>
              <w:rPr>
                <w:rFonts w:eastAsia="TimesNewRomanPSMT" w:cs="Times New Roman"/>
                <w:color w:val="C00000"/>
                <w:szCs w:val="28"/>
              </w:rPr>
            </w:pPr>
            <w:r w:rsidRPr="0079668C">
              <w:rPr>
                <w:rFonts w:cs="Times New Roman"/>
                <w:szCs w:val="28"/>
              </w:rPr>
              <w:t>Министерство здравоохранения Республики Казахстан</w:t>
            </w:r>
          </w:p>
        </w:tc>
      </w:tr>
      <w:tr w:rsidR="00504C6D" w:rsidRPr="0079668C" w:rsidTr="00076150">
        <w:tc>
          <w:tcPr>
            <w:tcW w:w="1951" w:type="dxa"/>
          </w:tcPr>
          <w:p w:rsidR="00504C6D" w:rsidRPr="00504C6D" w:rsidRDefault="00504C6D" w:rsidP="00076150">
            <w:pPr>
              <w:contextualSpacing/>
              <w:jc w:val="both"/>
              <w:rPr>
                <w:rFonts w:cs="Times New Roman"/>
                <w:szCs w:val="28"/>
              </w:rPr>
            </w:pPr>
            <w:r>
              <w:rPr>
                <w:rFonts w:cs="Times New Roman"/>
                <w:szCs w:val="28"/>
              </w:rPr>
              <w:t>ОЭСР</w:t>
            </w:r>
          </w:p>
        </w:tc>
        <w:tc>
          <w:tcPr>
            <w:tcW w:w="7544" w:type="dxa"/>
          </w:tcPr>
          <w:p w:rsidR="00504C6D" w:rsidRPr="00A55362" w:rsidRDefault="00504C6D" w:rsidP="00076150">
            <w:pPr>
              <w:contextualSpacing/>
              <w:jc w:val="both"/>
              <w:rPr>
                <w:rFonts w:eastAsia="TimesNewRomanPSMT" w:cs="Times New Roman"/>
                <w:color w:val="C00000"/>
                <w:szCs w:val="28"/>
              </w:rPr>
            </w:pPr>
            <w:r w:rsidRPr="00504C6D">
              <w:rPr>
                <w:rFonts w:eastAsia="TimesNewRomanPSMT" w:cs="Times New Roman"/>
                <w:szCs w:val="28"/>
              </w:rPr>
              <w:t>Организация экономического сотрудничества и развития</w:t>
            </w:r>
          </w:p>
        </w:tc>
      </w:tr>
      <w:tr w:rsidR="00504C6D" w:rsidRPr="0079668C" w:rsidTr="00076150">
        <w:tc>
          <w:tcPr>
            <w:tcW w:w="1951" w:type="dxa"/>
          </w:tcPr>
          <w:p w:rsidR="00504C6D" w:rsidRPr="0079668C" w:rsidRDefault="00504C6D" w:rsidP="00076150">
            <w:pPr>
              <w:contextualSpacing/>
              <w:rPr>
                <w:rFonts w:cs="Times New Roman"/>
                <w:szCs w:val="28"/>
              </w:rPr>
            </w:pPr>
            <w:r w:rsidRPr="0079668C">
              <w:rPr>
                <w:rFonts w:cs="Times New Roman"/>
                <w:szCs w:val="28"/>
              </w:rPr>
              <w:t>РЦРЗ</w:t>
            </w:r>
          </w:p>
        </w:tc>
        <w:tc>
          <w:tcPr>
            <w:tcW w:w="7544" w:type="dxa"/>
          </w:tcPr>
          <w:p w:rsidR="00504C6D" w:rsidRPr="0079668C" w:rsidRDefault="00504C6D" w:rsidP="00076150">
            <w:pPr>
              <w:contextualSpacing/>
              <w:rPr>
                <w:rFonts w:cs="Times New Roman"/>
                <w:szCs w:val="28"/>
              </w:rPr>
            </w:pPr>
            <w:r w:rsidRPr="0079668C">
              <w:rPr>
                <w:rFonts w:cs="Times New Roman"/>
                <w:szCs w:val="28"/>
              </w:rPr>
              <w:t>Республиканский центр развития здравоохранения</w:t>
            </w:r>
          </w:p>
        </w:tc>
      </w:tr>
      <w:tr w:rsidR="00504C6D" w:rsidRPr="0079668C" w:rsidTr="00076150">
        <w:tc>
          <w:tcPr>
            <w:tcW w:w="1951" w:type="dxa"/>
          </w:tcPr>
          <w:p w:rsidR="00504C6D" w:rsidRPr="0079668C" w:rsidRDefault="00504C6D" w:rsidP="00076150">
            <w:pPr>
              <w:spacing w:line="240" w:lineRule="auto"/>
              <w:contextualSpacing/>
              <w:jc w:val="both"/>
              <w:rPr>
                <w:rFonts w:cs="Times New Roman"/>
                <w:szCs w:val="28"/>
              </w:rPr>
            </w:pPr>
            <w:r w:rsidRPr="0079668C">
              <w:rPr>
                <w:rFonts w:cs="Times New Roman"/>
                <w:szCs w:val="28"/>
              </w:rPr>
              <w:t>ЦЭ</w:t>
            </w:r>
            <w:r>
              <w:rPr>
                <w:rFonts w:cs="Times New Roman"/>
                <w:szCs w:val="28"/>
              </w:rPr>
              <w:t>З</w:t>
            </w:r>
          </w:p>
        </w:tc>
        <w:tc>
          <w:tcPr>
            <w:tcW w:w="7544" w:type="dxa"/>
          </w:tcPr>
          <w:p w:rsidR="00504C6D" w:rsidRPr="0079668C" w:rsidRDefault="00504C6D" w:rsidP="00076150">
            <w:pPr>
              <w:spacing w:line="240" w:lineRule="auto"/>
              <w:contextualSpacing/>
              <w:jc w:val="both"/>
              <w:rPr>
                <w:rFonts w:cs="Times New Roman"/>
                <w:szCs w:val="28"/>
              </w:rPr>
            </w:pPr>
            <w:r w:rsidRPr="0079668C">
              <w:rPr>
                <w:rFonts w:cs="Times New Roman"/>
                <w:szCs w:val="28"/>
              </w:rPr>
              <w:t xml:space="preserve">Центр </w:t>
            </w:r>
            <w:r>
              <w:rPr>
                <w:rFonts w:cs="Times New Roman"/>
                <w:szCs w:val="28"/>
              </w:rPr>
              <w:t>экономики здравоохранения</w:t>
            </w:r>
          </w:p>
        </w:tc>
      </w:tr>
      <w:tr w:rsidR="00504C6D" w:rsidRPr="0079668C" w:rsidTr="00076150">
        <w:tc>
          <w:tcPr>
            <w:tcW w:w="1951" w:type="dxa"/>
          </w:tcPr>
          <w:p w:rsidR="00504C6D" w:rsidRPr="00E615D2" w:rsidRDefault="00504C6D" w:rsidP="00076150">
            <w:pPr>
              <w:contextualSpacing/>
              <w:jc w:val="both"/>
              <w:rPr>
                <w:rFonts w:cs="Times New Roman"/>
                <w:szCs w:val="28"/>
              </w:rPr>
            </w:pPr>
            <w:r>
              <w:rPr>
                <w:rFonts w:cs="Times New Roman"/>
                <w:szCs w:val="28"/>
              </w:rPr>
              <w:t>ВБ</w:t>
            </w:r>
          </w:p>
        </w:tc>
        <w:tc>
          <w:tcPr>
            <w:tcW w:w="7544" w:type="dxa"/>
          </w:tcPr>
          <w:p w:rsidR="00504C6D" w:rsidRPr="00E615D2" w:rsidRDefault="00504C6D" w:rsidP="00076150">
            <w:pPr>
              <w:contextualSpacing/>
              <w:jc w:val="both"/>
              <w:rPr>
                <w:rFonts w:cs="Times New Roman"/>
                <w:szCs w:val="28"/>
              </w:rPr>
            </w:pPr>
            <w:r>
              <w:rPr>
                <w:rFonts w:cs="Times New Roman"/>
                <w:szCs w:val="28"/>
              </w:rPr>
              <w:t>Всемирный Банк</w:t>
            </w:r>
          </w:p>
        </w:tc>
      </w:tr>
      <w:tr w:rsidR="00504C6D" w:rsidRPr="0079668C" w:rsidTr="00076150">
        <w:tc>
          <w:tcPr>
            <w:tcW w:w="1951" w:type="dxa"/>
          </w:tcPr>
          <w:p w:rsidR="00504C6D" w:rsidRPr="00E615D2" w:rsidRDefault="00504C6D" w:rsidP="00076150">
            <w:pPr>
              <w:contextualSpacing/>
              <w:jc w:val="both"/>
              <w:rPr>
                <w:rFonts w:cs="Times New Roman"/>
                <w:szCs w:val="28"/>
              </w:rPr>
            </w:pPr>
            <w:r>
              <w:rPr>
                <w:rFonts w:cs="Times New Roman"/>
                <w:szCs w:val="28"/>
              </w:rPr>
              <w:t>ОСМС</w:t>
            </w:r>
          </w:p>
        </w:tc>
        <w:tc>
          <w:tcPr>
            <w:tcW w:w="7544" w:type="dxa"/>
          </w:tcPr>
          <w:p w:rsidR="00504C6D" w:rsidRPr="00E615D2" w:rsidRDefault="00504C6D" w:rsidP="00076150">
            <w:pPr>
              <w:contextualSpacing/>
              <w:jc w:val="both"/>
              <w:rPr>
                <w:rFonts w:cs="Times New Roman"/>
                <w:szCs w:val="28"/>
              </w:rPr>
            </w:pPr>
            <w:r>
              <w:rPr>
                <w:rFonts w:cs="Times New Roman"/>
                <w:szCs w:val="28"/>
              </w:rPr>
              <w:t>Обязательное социальное медицинское страхование</w:t>
            </w:r>
          </w:p>
        </w:tc>
      </w:tr>
      <w:tr w:rsidR="00504C6D" w:rsidRPr="0079668C" w:rsidTr="00076150">
        <w:tc>
          <w:tcPr>
            <w:tcW w:w="1951" w:type="dxa"/>
          </w:tcPr>
          <w:p w:rsidR="00504C6D" w:rsidRDefault="00504C6D" w:rsidP="00076150">
            <w:pPr>
              <w:spacing w:after="0"/>
              <w:contextualSpacing/>
              <w:jc w:val="both"/>
              <w:rPr>
                <w:rFonts w:cs="Times New Roman"/>
                <w:szCs w:val="28"/>
              </w:rPr>
            </w:pPr>
            <w:r>
              <w:rPr>
                <w:rFonts w:cs="Times New Roman"/>
                <w:szCs w:val="28"/>
              </w:rPr>
              <w:t xml:space="preserve">США                    </w:t>
            </w:r>
          </w:p>
        </w:tc>
        <w:tc>
          <w:tcPr>
            <w:tcW w:w="7544" w:type="dxa"/>
          </w:tcPr>
          <w:p w:rsidR="00504C6D" w:rsidRPr="00891FA0" w:rsidRDefault="00504C6D" w:rsidP="00076150">
            <w:pPr>
              <w:pStyle w:val="Default"/>
              <w:contextualSpacing/>
              <w:jc w:val="both"/>
              <w:rPr>
                <w:color w:val="auto"/>
                <w:sz w:val="28"/>
                <w:szCs w:val="28"/>
                <w:lang w:val="ru-RU"/>
              </w:rPr>
            </w:pPr>
            <w:r>
              <w:rPr>
                <w:color w:val="auto"/>
                <w:sz w:val="28"/>
                <w:szCs w:val="28"/>
                <w:lang w:val="ru-RU"/>
              </w:rPr>
              <w:t>Соединенные Штаты Америки</w:t>
            </w:r>
          </w:p>
        </w:tc>
      </w:tr>
      <w:tr w:rsidR="00504C6D" w:rsidRPr="0079668C" w:rsidTr="00076150">
        <w:tc>
          <w:tcPr>
            <w:tcW w:w="1951" w:type="dxa"/>
          </w:tcPr>
          <w:p w:rsidR="00504C6D" w:rsidRPr="00C53E37" w:rsidRDefault="00504C6D" w:rsidP="00076150">
            <w:pPr>
              <w:spacing w:after="0"/>
              <w:contextualSpacing/>
              <w:jc w:val="both"/>
              <w:rPr>
                <w:rFonts w:cs="Times New Roman"/>
                <w:szCs w:val="28"/>
              </w:rPr>
            </w:pPr>
            <w:r>
              <w:rPr>
                <w:rFonts w:cs="Times New Roman"/>
                <w:szCs w:val="28"/>
              </w:rPr>
              <w:t>ГОБМП</w:t>
            </w:r>
          </w:p>
          <w:p w:rsidR="00504C6D" w:rsidRPr="00C53E37" w:rsidRDefault="00504C6D" w:rsidP="00076150">
            <w:pPr>
              <w:spacing w:after="0"/>
              <w:jc w:val="both"/>
              <w:rPr>
                <w:rFonts w:cs="Times New Roman"/>
                <w:szCs w:val="28"/>
              </w:rPr>
            </w:pPr>
            <w:r>
              <w:rPr>
                <w:rFonts w:cs="Times New Roman"/>
                <w:szCs w:val="28"/>
              </w:rPr>
              <w:t>СНГ</w:t>
            </w:r>
          </w:p>
        </w:tc>
        <w:tc>
          <w:tcPr>
            <w:tcW w:w="7544" w:type="dxa"/>
          </w:tcPr>
          <w:p w:rsidR="00504C6D" w:rsidRDefault="00504C6D" w:rsidP="00076150">
            <w:pPr>
              <w:pStyle w:val="Default"/>
              <w:contextualSpacing/>
              <w:jc w:val="both"/>
              <w:rPr>
                <w:sz w:val="28"/>
                <w:szCs w:val="28"/>
                <w:lang w:val="ru-RU"/>
              </w:rPr>
            </w:pPr>
            <w:r>
              <w:rPr>
                <w:color w:val="auto"/>
                <w:sz w:val="28"/>
                <w:szCs w:val="28"/>
                <w:lang w:val="ru-RU"/>
              </w:rPr>
              <w:t>Государственный объем бесплатной медицинской помощи</w:t>
            </w:r>
            <w:r>
              <w:rPr>
                <w:sz w:val="28"/>
                <w:szCs w:val="28"/>
                <w:lang w:val="ru-RU"/>
              </w:rPr>
              <w:t xml:space="preserve">Содружество Независимых Государств </w:t>
            </w:r>
          </w:p>
          <w:p w:rsidR="00504C6D" w:rsidRDefault="00504C6D" w:rsidP="00076150">
            <w:pPr>
              <w:pStyle w:val="Default"/>
              <w:contextualSpacing/>
              <w:jc w:val="both"/>
              <w:rPr>
                <w:sz w:val="28"/>
                <w:szCs w:val="28"/>
                <w:lang w:val="ru-RU"/>
              </w:rPr>
            </w:pPr>
          </w:p>
          <w:p w:rsidR="00504C6D" w:rsidRPr="00324DC7" w:rsidRDefault="00504C6D" w:rsidP="00076150">
            <w:pPr>
              <w:pStyle w:val="Default"/>
              <w:contextualSpacing/>
              <w:jc w:val="both"/>
              <w:rPr>
                <w:sz w:val="28"/>
                <w:szCs w:val="28"/>
                <w:lang w:val="ru-RU"/>
              </w:rPr>
            </w:pPr>
          </w:p>
        </w:tc>
      </w:tr>
    </w:tbl>
    <w:p w:rsidR="00206389" w:rsidRPr="0079668C" w:rsidRDefault="00206389" w:rsidP="00206389">
      <w:pPr>
        <w:spacing w:after="0" w:line="240" w:lineRule="auto"/>
        <w:contextualSpacing/>
        <w:jc w:val="both"/>
        <w:rPr>
          <w:rFonts w:cs="Times New Roman"/>
          <w:b/>
          <w:szCs w:val="28"/>
          <w:highlight w:val="yellow"/>
        </w:rPr>
        <w:sectPr w:rsidR="00206389" w:rsidRPr="0079668C" w:rsidSect="00076150">
          <w:footerReference w:type="default" r:id="rId8"/>
          <w:headerReference w:type="first" r:id="rId9"/>
          <w:footerReference w:type="first" r:id="rId10"/>
          <w:pgSz w:w="11906" w:h="16838"/>
          <w:pgMar w:top="1191" w:right="1134" w:bottom="1134" w:left="1418" w:header="709" w:footer="709" w:gutter="0"/>
          <w:cols w:space="708"/>
          <w:titlePg/>
          <w:docGrid w:linePitch="381"/>
        </w:sectPr>
      </w:pPr>
    </w:p>
    <w:p w:rsidR="00206389" w:rsidRDefault="00206389" w:rsidP="00206389">
      <w:pPr>
        <w:autoSpaceDE w:val="0"/>
        <w:autoSpaceDN w:val="0"/>
        <w:adjustRightInd w:val="0"/>
        <w:spacing w:after="0" w:line="240" w:lineRule="auto"/>
        <w:ind w:firstLine="709"/>
        <w:jc w:val="both"/>
        <w:rPr>
          <w:rFonts w:cs="Times New Roman"/>
          <w:b/>
          <w:szCs w:val="28"/>
        </w:rPr>
      </w:pPr>
      <w:r>
        <w:rPr>
          <w:rFonts w:cs="Times New Roman"/>
          <w:b/>
          <w:szCs w:val="28"/>
        </w:rPr>
        <w:lastRenderedPageBreak/>
        <w:t>Глава 1. Теоретические основы исследования инфляции</w:t>
      </w:r>
    </w:p>
    <w:p w:rsidR="00206389" w:rsidRDefault="00206389" w:rsidP="00206389">
      <w:pPr>
        <w:autoSpaceDE w:val="0"/>
        <w:autoSpaceDN w:val="0"/>
        <w:adjustRightInd w:val="0"/>
        <w:spacing w:after="0" w:line="240" w:lineRule="auto"/>
        <w:ind w:firstLine="709"/>
        <w:jc w:val="both"/>
        <w:rPr>
          <w:rFonts w:cs="Times New Roman"/>
          <w:b/>
          <w:szCs w:val="28"/>
        </w:rPr>
      </w:pPr>
    </w:p>
    <w:p w:rsidR="00206389" w:rsidRPr="00FF03D0" w:rsidRDefault="00206389" w:rsidP="00206389">
      <w:pPr>
        <w:autoSpaceDE w:val="0"/>
        <w:autoSpaceDN w:val="0"/>
        <w:adjustRightInd w:val="0"/>
        <w:spacing w:after="0" w:line="240" w:lineRule="auto"/>
        <w:ind w:firstLine="709"/>
        <w:jc w:val="both"/>
        <w:rPr>
          <w:rFonts w:cs="Times New Roman"/>
          <w:b/>
          <w:szCs w:val="28"/>
        </w:rPr>
      </w:pPr>
      <w:r w:rsidRPr="00FF03D0">
        <w:rPr>
          <w:rFonts w:cs="Times New Roman"/>
          <w:b/>
          <w:szCs w:val="28"/>
        </w:rPr>
        <w:t>1.1 Введение. Понятие инфляции и факторы, влияющие на её формирование</w:t>
      </w:r>
    </w:p>
    <w:p w:rsidR="00206389" w:rsidRPr="00DE7C55" w:rsidRDefault="00206389" w:rsidP="00206389">
      <w:pPr>
        <w:pStyle w:val="a3"/>
        <w:autoSpaceDE w:val="0"/>
        <w:autoSpaceDN w:val="0"/>
        <w:adjustRightInd w:val="0"/>
        <w:spacing w:after="0" w:line="240" w:lineRule="auto"/>
        <w:ind w:left="1819" w:firstLine="709"/>
        <w:jc w:val="both"/>
        <w:rPr>
          <w:rFonts w:cs="Times New Roman"/>
          <w:b/>
          <w:szCs w:val="28"/>
        </w:rPr>
      </w:pPr>
    </w:p>
    <w:p w:rsidR="00206389" w:rsidRPr="00404840" w:rsidRDefault="00206389" w:rsidP="00206389">
      <w:pPr>
        <w:autoSpaceDE w:val="0"/>
        <w:autoSpaceDN w:val="0"/>
        <w:adjustRightInd w:val="0"/>
        <w:spacing w:after="0" w:line="240" w:lineRule="auto"/>
        <w:ind w:firstLine="709"/>
        <w:jc w:val="both"/>
        <w:rPr>
          <w:rFonts w:cs="Times New Roman"/>
          <w:szCs w:val="28"/>
        </w:rPr>
      </w:pPr>
      <w:r w:rsidRPr="00404840">
        <w:rPr>
          <w:rFonts w:cs="Times New Roman"/>
          <w:szCs w:val="28"/>
        </w:rPr>
        <w:t>Методы расчета инфляции отличаются широким разнообразием используемых подходов. Инфляция, как экономическое явление, представляет собой процесс обесценения денег, вследствие перенасыщения каналов товарного обращения денежной массой и выражается в повышении общего уровня цен. Однако, определение инфляции исключительно как переполнение каналов денежного обращения обесценивающимися деньгами нельзя считать полным. Инфляция, хотя она и проявляется в росте товарных цен, не может быть сведена лишь к денежному феномену. Это сложное социально-экономическое явление, порождаемое диспропорциями воспроизводства в различных сферах рыночного хозяйства. Инфляция представляет собой одну из наиболее острых проблем современного развития экономики во многих странах мира.</w:t>
      </w:r>
    </w:p>
    <w:p w:rsidR="00206389" w:rsidRPr="00404840" w:rsidRDefault="00206389" w:rsidP="00206389">
      <w:pPr>
        <w:autoSpaceDE w:val="0"/>
        <w:autoSpaceDN w:val="0"/>
        <w:adjustRightInd w:val="0"/>
        <w:spacing w:after="0" w:line="240" w:lineRule="auto"/>
        <w:ind w:firstLine="709"/>
        <w:jc w:val="both"/>
        <w:rPr>
          <w:rFonts w:cs="Times New Roman"/>
          <w:szCs w:val="28"/>
        </w:rPr>
      </w:pPr>
      <w:r w:rsidRPr="00404840">
        <w:rPr>
          <w:rFonts w:cs="Times New Roman"/>
          <w:szCs w:val="28"/>
        </w:rPr>
        <w:t xml:space="preserve">Независимо от состояния денежной сферы товарные цены могут возрасти вследствие изменений в динамике производительности труда, циклических и сезонных колебаний, структурных сдвигов в системе воспроизводства, монополизации рынка, государственного регулирования экономики, введения новых ставок налогов, девальвации и ревальвации денежной единицы, изменения конъюнктуры рынка, воздействия внешнеэкономических связей, стихийных бедствий и т.п. </w:t>
      </w:r>
    </w:p>
    <w:p w:rsidR="00206389" w:rsidRDefault="00206389" w:rsidP="00206389">
      <w:pPr>
        <w:autoSpaceDE w:val="0"/>
        <w:autoSpaceDN w:val="0"/>
        <w:adjustRightInd w:val="0"/>
        <w:spacing w:after="0" w:line="240" w:lineRule="auto"/>
        <w:ind w:firstLine="709"/>
        <w:jc w:val="both"/>
        <w:rPr>
          <w:rFonts w:cs="Times New Roman"/>
          <w:szCs w:val="28"/>
        </w:rPr>
      </w:pPr>
      <w:r w:rsidRPr="00404840">
        <w:rPr>
          <w:rFonts w:cs="Times New Roman"/>
          <w:szCs w:val="28"/>
        </w:rPr>
        <w:t>В качестве основных причин инфляции экономической литературой выделяют следующие:</w:t>
      </w:r>
    </w:p>
    <w:p w:rsidR="00206389" w:rsidRDefault="00206389" w:rsidP="00206389">
      <w:pPr>
        <w:pStyle w:val="a3"/>
        <w:numPr>
          <w:ilvl w:val="0"/>
          <w:numId w:val="3"/>
        </w:numPr>
        <w:autoSpaceDE w:val="0"/>
        <w:autoSpaceDN w:val="0"/>
        <w:adjustRightInd w:val="0"/>
        <w:spacing w:after="0" w:line="240" w:lineRule="auto"/>
        <w:ind w:left="567" w:hanging="567"/>
        <w:jc w:val="both"/>
        <w:rPr>
          <w:rFonts w:cs="Times New Roman"/>
          <w:szCs w:val="28"/>
        </w:rPr>
      </w:pPr>
      <w:r w:rsidRPr="00C568D6">
        <w:rPr>
          <w:rFonts w:cs="Times New Roman"/>
          <w:b/>
          <w:szCs w:val="28"/>
        </w:rPr>
        <w:t>дисбаланс между совокупным спросом и совокупным предложением</w:t>
      </w:r>
      <w:r w:rsidRPr="00C568D6">
        <w:rPr>
          <w:rFonts w:cs="Times New Roman"/>
          <w:szCs w:val="28"/>
        </w:rPr>
        <w:t>, возникающий вследствие длительного неравновесия в сторону увеличения совокупного спроса на товарном рынке.</w:t>
      </w:r>
    </w:p>
    <w:p w:rsidR="00206389" w:rsidRDefault="00206389" w:rsidP="00206389">
      <w:pPr>
        <w:pStyle w:val="a3"/>
        <w:numPr>
          <w:ilvl w:val="0"/>
          <w:numId w:val="3"/>
        </w:numPr>
        <w:autoSpaceDE w:val="0"/>
        <w:autoSpaceDN w:val="0"/>
        <w:adjustRightInd w:val="0"/>
        <w:spacing w:after="0" w:line="240" w:lineRule="auto"/>
        <w:ind w:left="567" w:hanging="567"/>
        <w:jc w:val="both"/>
        <w:rPr>
          <w:rFonts w:cs="Times New Roman"/>
          <w:szCs w:val="28"/>
        </w:rPr>
      </w:pPr>
      <w:r w:rsidRPr="00C568D6">
        <w:rPr>
          <w:rFonts w:cs="Times New Roman"/>
          <w:b/>
          <w:szCs w:val="28"/>
        </w:rPr>
        <w:t>диспропорциональность государственных расходов и доходов</w:t>
      </w:r>
      <w:r w:rsidRPr="00C568D6">
        <w:rPr>
          <w:rFonts w:cs="Times New Roman"/>
          <w:szCs w:val="28"/>
        </w:rPr>
        <w:t>, выражающаяся  в дефиците государственного бюджета. К росту общего уровня цен в стране в данном случае приведет финансирование дефицита государственного бюджета посредством дополнительной эмиссии денежных средств банком первого уровня, что приведет к необеспеченному товарами росту денежной массы.</w:t>
      </w:r>
    </w:p>
    <w:p w:rsidR="00206389" w:rsidRDefault="00206389" w:rsidP="00206389">
      <w:pPr>
        <w:pStyle w:val="a3"/>
        <w:numPr>
          <w:ilvl w:val="0"/>
          <w:numId w:val="3"/>
        </w:numPr>
        <w:autoSpaceDE w:val="0"/>
        <w:autoSpaceDN w:val="0"/>
        <w:adjustRightInd w:val="0"/>
        <w:spacing w:after="0" w:line="240" w:lineRule="auto"/>
        <w:ind w:left="567" w:hanging="567"/>
        <w:jc w:val="both"/>
        <w:rPr>
          <w:rFonts w:cs="Times New Roman"/>
          <w:szCs w:val="28"/>
        </w:rPr>
      </w:pPr>
      <w:r w:rsidRPr="00C568D6">
        <w:rPr>
          <w:rFonts w:cs="Times New Roman"/>
          <w:b/>
          <w:szCs w:val="28"/>
        </w:rPr>
        <w:t xml:space="preserve">рост непроизводительного потребления, а также финансирование инвестиций посредством эмиссии денежной массы. </w:t>
      </w:r>
      <w:r w:rsidRPr="00C568D6">
        <w:rPr>
          <w:rFonts w:cs="Times New Roman"/>
          <w:szCs w:val="28"/>
        </w:rPr>
        <w:t>Особенно инфляционно опасными являются инвестиции, связанные с милитаризацией экономики. Так, непроизводительное потребление национального дохода на военные цели означает не только</w:t>
      </w:r>
      <w:r w:rsidR="00076150">
        <w:rPr>
          <w:rFonts w:cs="Times New Roman"/>
          <w:szCs w:val="28"/>
        </w:rPr>
        <w:t xml:space="preserve"> потерю общественного богатства</w:t>
      </w:r>
      <w:r w:rsidR="00226313">
        <w:rPr>
          <w:rFonts w:cs="Times New Roman"/>
          <w:szCs w:val="28"/>
        </w:rPr>
        <w:t>, но и рост уровня цен.</w:t>
      </w:r>
      <w:r w:rsidRPr="00C568D6">
        <w:rPr>
          <w:rFonts w:cs="Times New Roman"/>
          <w:szCs w:val="28"/>
        </w:rPr>
        <w:t xml:space="preserve"> Одновременно военные ассигнования создают дополнительный платежеспособный спрос, что ведет к росту денежной массы без соответствующего товарного покрытия. Рост военных расходов является одной из главных причин </w:t>
      </w:r>
      <w:r w:rsidRPr="00C568D6">
        <w:rPr>
          <w:rFonts w:cs="Times New Roman"/>
          <w:szCs w:val="28"/>
        </w:rPr>
        <w:lastRenderedPageBreak/>
        <w:t>хронических дефицитов государственного бюджета и увеличения государственного долга во многих странах, для покрытия которого государство увеличивает денежную массу.</w:t>
      </w:r>
    </w:p>
    <w:p w:rsidR="00206389" w:rsidRDefault="00206389" w:rsidP="00206389">
      <w:pPr>
        <w:pStyle w:val="a3"/>
        <w:numPr>
          <w:ilvl w:val="0"/>
          <w:numId w:val="3"/>
        </w:numPr>
        <w:autoSpaceDE w:val="0"/>
        <w:autoSpaceDN w:val="0"/>
        <w:adjustRightInd w:val="0"/>
        <w:spacing w:after="0" w:line="240" w:lineRule="auto"/>
        <w:ind w:left="567" w:hanging="567"/>
        <w:jc w:val="both"/>
        <w:rPr>
          <w:rFonts w:cs="Times New Roman"/>
          <w:szCs w:val="28"/>
        </w:rPr>
      </w:pPr>
      <w:r w:rsidRPr="00C568D6">
        <w:rPr>
          <w:rFonts w:cs="Times New Roman"/>
          <w:b/>
          <w:szCs w:val="28"/>
        </w:rPr>
        <w:t>изменение структуры рынка в сторону развития олигополий.</w:t>
      </w:r>
      <w:r w:rsidRPr="00C568D6">
        <w:rPr>
          <w:rFonts w:cs="Times New Roman"/>
          <w:szCs w:val="28"/>
        </w:rPr>
        <w:t xml:space="preserve"> Современный тип рынка все меньше напоминает условия совершенной конкуренции, когда на рынке действует большое число производителей, продукция характеризуется однородностью, перелив капитала не затруднен. Современный рынок — это в значительной степени олигополистический рынок, где контроль над ценой устанавливается лидирующими продавцами и становится причиной длительного несоответствие совокупного спроса и предложения</w:t>
      </w:r>
    </w:p>
    <w:p w:rsidR="00206389" w:rsidRPr="00C568D6" w:rsidRDefault="00206389" w:rsidP="00206389">
      <w:pPr>
        <w:pStyle w:val="a3"/>
        <w:numPr>
          <w:ilvl w:val="0"/>
          <w:numId w:val="3"/>
        </w:numPr>
        <w:autoSpaceDE w:val="0"/>
        <w:autoSpaceDN w:val="0"/>
        <w:adjustRightInd w:val="0"/>
        <w:spacing w:after="0" w:line="240" w:lineRule="auto"/>
        <w:ind w:left="567" w:hanging="567"/>
        <w:jc w:val="both"/>
        <w:rPr>
          <w:rFonts w:cs="Times New Roman"/>
          <w:szCs w:val="28"/>
        </w:rPr>
      </w:pPr>
      <w:r w:rsidRPr="00C568D6">
        <w:rPr>
          <w:rFonts w:cs="Times New Roman"/>
          <w:b/>
          <w:szCs w:val="28"/>
        </w:rPr>
        <w:t>инфляция приобретает самоподдерживающийся характер в результате так называемых инфляционных ожиданий</w:t>
      </w:r>
      <w:r w:rsidRPr="00C568D6">
        <w:rPr>
          <w:rFonts w:cs="Times New Roman"/>
          <w:szCs w:val="28"/>
        </w:rPr>
        <w:t>. Данный фактор выделяется большим количеством ученых, подчеркивая, что преодоление инфляционных ожиданий населения и производителей — важнейшая задача антиинфляционной политики государства.</w:t>
      </w:r>
    </w:p>
    <w:p w:rsidR="00206389" w:rsidRPr="00404840" w:rsidRDefault="00206389" w:rsidP="00206389">
      <w:pPr>
        <w:autoSpaceDE w:val="0"/>
        <w:autoSpaceDN w:val="0"/>
        <w:adjustRightInd w:val="0"/>
        <w:spacing w:after="0" w:line="240" w:lineRule="auto"/>
        <w:ind w:firstLine="709"/>
        <w:jc w:val="both"/>
        <w:rPr>
          <w:rFonts w:cs="Times New Roman"/>
          <w:szCs w:val="28"/>
        </w:rPr>
      </w:pPr>
      <w:r w:rsidRPr="00404840">
        <w:rPr>
          <w:rFonts w:cs="Times New Roman"/>
          <w:szCs w:val="28"/>
        </w:rPr>
        <w:t>Как было отмечено ранее, основной причиной возникновения инфляции является устойчивый дисбаланс между совокупным спросом и совокупным предложением, который в свою очередь формирует инфляцию спроса либо инфляцию издержек.</w:t>
      </w:r>
    </w:p>
    <w:p w:rsidR="00206389" w:rsidRPr="00404840" w:rsidRDefault="00206389" w:rsidP="00206389">
      <w:pPr>
        <w:autoSpaceDE w:val="0"/>
        <w:autoSpaceDN w:val="0"/>
        <w:adjustRightInd w:val="0"/>
        <w:spacing w:after="0" w:line="240" w:lineRule="auto"/>
        <w:ind w:firstLine="709"/>
        <w:jc w:val="both"/>
        <w:rPr>
          <w:rFonts w:cs="Times New Roman"/>
          <w:szCs w:val="28"/>
        </w:rPr>
      </w:pPr>
      <w:r w:rsidRPr="00404840">
        <w:rPr>
          <w:rFonts w:cs="Times New Roman"/>
          <w:b/>
          <w:szCs w:val="28"/>
        </w:rPr>
        <w:t>Инфляция спроса</w:t>
      </w:r>
      <w:r w:rsidRPr="00404840">
        <w:rPr>
          <w:rFonts w:cs="Times New Roman"/>
          <w:szCs w:val="28"/>
        </w:rPr>
        <w:t xml:space="preserve"> является результатом выпуска в обращение дополнительной массы платежных средств, не обеспеченных товарной массой. Совокупный спрос, превышающий текущие производственные возможности, вызывает повышение уровня цен. Инфляция, вызванная этим источником, начинается с роста цен на конечные продукты, который постепенно распространяется на факторы производства. Причем рост цен на последнее не поспевает за ростом цен на конечный продукт. </w:t>
      </w:r>
    </w:p>
    <w:p w:rsidR="00206389" w:rsidRDefault="00206389" w:rsidP="00206389">
      <w:pPr>
        <w:autoSpaceDE w:val="0"/>
        <w:autoSpaceDN w:val="0"/>
        <w:adjustRightInd w:val="0"/>
        <w:spacing w:after="0" w:line="240" w:lineRule="auto"/>
        <w:ind w:firstLine="709"/>
        <w:jc w:val="both"/>
        <w:rPr>
          <w:rFonts w:cs="Times New Roman"/>
          <w:szCs w:val="28"/>
        </w:rPr>
      </w:pPr>
      <w:r w:rsidRPr="00404840">
        <w:rPr>
          <w:rFonts w:cs="Times New Roman"/>
          <w:szCs w:val="28"/>
        </w:rPr>
        <w:t xml:space="preserve">В мировой практике под </w:t>
      </w:r>
      <w:r w:rsidRPr="00404840">
        <w:rPr>
          <w:rFonts w:cs="Times New Roman"/>
          <w:b/>
          <w:szCs w:val="28"/>
        </w:rPr>
        <w:t>инфляцией издержек</w:t>
      </w:r>
      <w:r w:rsidRPr="00404840">
        <w:rPr>
          <w:rFonts w:cs="Times New Roman"/>
          <w:szCs w:val="28"/>
        </w:rPr>
        <w:t xml:space="preserve"> подразумевается механизм формирования цен, при котором их рост определяется не увеличением спроса, а повышением затрат. Предложение при прежних ценах падает, что и вызывает рост цен. При этом объем производства, и занятость уменьшаются - признак недостаточного спроса.  Для инфляции издержек характерен рост всех компонентов производственных затрат (материальных ресурсов, зарплаты, затрат на обслуживание долгов и покупку денежных ресурсов и др.) и затем распространяется - в свою очередь, через повышение издержек - на конечный продукт.</w:t>
      </w:r>
    </w:p>
    <w:p w:rsidR="00206389" w:rsidRDefault="00206389" w:rsidP="00206389">
      <w:pPr>
        <w:autoSpaceDE w:val="0"/>
        <w:autoSpaceDN w:val="0"/>
        <w:adjustRightInd w:val="0"/>
        <w:spacing w:after="0" w:line="240" w:lineRule="auto"/>
        <w:ind w:firstLine="709"/>
        <w:jc w:val="both"/>
        <w:rPr>
          <w:rFonts w:cs="Times New Roman"/>
          <w:szCs w:val="28"/>
        </w:rPr>
      </w:pPr>
    </w:p>
    <w:p w:rsidR="00206389" w:rsidRPr="003F1F52" w:rsidRDefault="00206389" w:rsidP="00206389">
      <w:pPr>
        <w:pStyle w:val="a3"/>
        <w:numPr>
          <w:ilvl w:val="1"/>
          <w:numId w:val="4"/>
        </w:numPr>
        <w:autoSpaceDE w:val="0"/>
        <w:autoSpaceDN w:val="0"/>
        <w:adjustRightInd w:val="0"/>
        <w:spacing w:after="0" w:line="240" w:lineRule="auto"/>
        <w:ind w:left="1094" w:firstLine="0"/>
        <w:jc w:val="both"/>
        <w:rPr>
          <w:rFonts w:cs="Times New Roman"/>
          <w:b/>
          <w:szCs w:val="28"/>
        </w:rPr>
      </w:pPr>
      <w:r w:rsidRPr="003F1F52">
        <w:rPr>
          <w:rFonts w:cs="Times New Roman"/>
          <w:b/>
          <w:szCs w:val="28"/>
        </w:rPr>
        <w:t xml:space="preserve">  Обзор существующих методик расчета уровня инфляции</w:t>
      </w:r>
      <w:r>
        <w:rPr>
          <w:rFonts w:cs="Times New Roman"/>
          <w:b/>
          <w:szCs w:val="28"/>
        </w:rPr>
        <w:t xml:space="preserve"> и их применение</w:t>
      </w:r>
    </w:p>
    <w:p w:rsidR="00206389" w:rsidRPr="00404840" w:rsidRDefault="00206389" w:rsidP="00206389">
      <w:pPr>
        <w:pStyle w:val="a3"/>
        <w:autoSpaceDE w:val="0"/>
        <w:autoSpaceDN w:val="0"/>
        <w:adjustRightInd w:val="0"/>
        <w:spacing w:after="0" w:line="240" w:lineRule="auto"/>
        <w:ind w:left="1778" w:firstLine="709"/>
        <w:jc w:val="both"/>
        <w:rPr>
          <w:rFonts w:cs="Times New Roman"/>
          <w:szCs w:val="28"/>
        </w:rPr>
      </w:pPr>
    </w:p>
    <w:p w:rsidR="00206389" w:rsidRPr="00404840" w:rsidRDefault="00206389" w:rsidP="00206389">
      <w:pPr>
        <w:autoSpaceDE w:val="0"/>
        <w:autoSpaceDN w:val="0"/>
        <w:adjustRightInd w:val="0"/>
        <w:spacing w:after="0" w:line="240" w:lineRule="auto"/>
        <w:ind w:firstLine="709"/>
        <w:jc w:val="both"/>
        <w:rPr>
          <w:rFonts w:cs="Times New Roman"/>
          <w:szCs w:val="28"/>
        </w:rPr>
      </w:pPr>
      <w:r w:rsidRPr="00404840">
        <w:rPr>
          <w:rFonts w:cs="Times New Roman"/>
          <w:szCs w:val="28"/>
        </w:rPr>
        <w:t xml:space="preserve">В настоящее время существует ряд методов измерения силы и интенсивности инфляционных процессов, различающихся механизмом расчета, объемами и источниками данных. Вся совокупность используемых </w:t>
      </w:r>
      <w:r w:rsidRPr="00404840">
        <w:rPr>
          <w:rFonts w:cs="Times New Roman"/>
          <w:szCs w:val="28"/>
        </w:rPr>
        <w:lastRenderedPageBreak/>
        <w:t>методов расчета инфляции представляет собой индексный метод расчета с помощью вычисления индекса цен.</w:t>
      </w:r>
    </w:p>
    <w:p w:rsidR="00206389" w:rsidRPr="00404840" w:rsidRDefault="00206389" w:rsidP="00206389">
      <w:pPr>
        <w:autoSpaceDE w:val="0"/>
        <w:autoSpaceDN w:val="0"/>
        <w:adjustRightInd w:val="0"/>
        <w:spacing w:after="0" w:line="240" w:lineRule="auto"/>
        <w:ind w:firstLine="709"/>
        <w:jc w:val="both"/>
        <w:rPr>
          <w:rFonts w:cs="Times New Roman"/>
          <w:szCs w:val="28"/>
        </w:rPr>
      </w:pPr>
      <w:r w:rsidRPr="00404840">
        <w:rPr>
          <w:rFonts w:cs="Times New Roman"/>
          <w:b/>
          <w:i/>
          <w:szCs w:val="28"/>
        </w:rPr>
        <w:t>Индекс цен</w:t>
      </w:r>
      <w:r w:rsidRPr="00404840">
        <w:rPr>
          <w:rFonts w:cs="Times New Roman"/>
          <w:szCs w:val="28"/>
        </w:rPr>
        <w:t xml:space="preserve"> является показателем или функцией, при помощи которой обобщается изменение цен многих товаров при переходе от одной ситуации, ситуации 0 (периода времени или места), к другой ситуации, ситуации 1. Если говорить точнее, для решения большинства практических задач индекс цен можно рассматривать как средневзвешенное изменений относительных цен товаров, которые рассматриваются в этих двух ситуациях.</w:t>
      </w:r>
    </w:p>
    <w:p w:rsidR="00206389" w:rsidRPr="00404840" w:rsidRDefault="00206389" w:rsidP="00206389">
      <w:pPr>
        <w:autoSpaceDE w:val="0"/>
        <w:autoSpaceDN w:val="0"/>
        <w:adjustRightInd w:val="0"/>
        <w:spacing w:after="0" w:line="240" w:lineRule="auto"/>
        <w:ind w:firstLine="709"/>
        <w:jc w:val="both"/>
        <w:rPr>
          <w:rFonts w:cs="Times New Roman"/>
          <w:szCs w:val="28"/>
        </w:rPr>
      </w:pPr>
      <w:r w:rsidRPr="00404840">
        <w:rPr>
          <w:rFonts w:cs="Times New Roman"/>
          <w:szCs w:val="28"/>
        </w:rPr>
        <w:t>Для определения индекса цен необходима следующая информация:</w:t>
      </w:r>
    </w:p>
    <w:p w:rsidR="00206389" w:rsidRPr="00404840" w:rsidRDefault="00206389" w:rsidP="00206389">
      <w:pPr>
        <w:autoSpaceDE w:val="0"/>
        <w:autoSpaceDN w:val="0"/>
        <w:adjustRightInd w:val="0"/>
        <w:spacing w:after="0" w:line="240" w:lineRule="auto"/>
        <w:ind w:firstLine="709"/>
        <w:jc w:val="both"/>
        <w:rPr>
          <w:rFonts w:cs="Times New Roman"/>
          <w:szCs w:val="28"/>
        </w:rPr>
      </w:pPr>
      <w:r w:rsidRPr="00404840">
        <w:rPr>
          <w:rFonts w:cs="Times New Roman"/>
          <w:szCs w:val="28"/>
        </w:rPr>
        <w:t>- перечень товаров, которые следует включать в расчет индекса;</w:t>
      </w:r>
    </w:p>
    <w:p w:rsidR="00206389" w:rsidRPr="00404840" w:rsidRDefault="00206389" w:rsidP="00206389">
      <w:pPr>
        <w:autoSpaceDE w:val="0"/>
        <w:autoSpaceDN w:val="0"/>
        <w:adjustRightInd w:val="0"/>
        <w:spacing w:after="0" w:line="240" w:lineRule="auto"/>
        <w:ind w:firstLine="709"/>
        <w:jc w:val="both"/>
        <w:rPr>
          <w:rFonts w:cs="Times New Roman"/>
          <w:szCs w:val="28"/>
        </w:rPr>
      </w:pPr>
      <w:r w:rsidRPr="00404840">
        <w:rPr>
          <w:rFonts w:cs="Times New Roman"/>
          <w:szCs w:val="28"/>
        </w:rPr>
        <w:t>- механизм определения цен на данные товары;</w:t>
      </w:r>
    </w:p>
    <w:p w:rsidR="00206389" w:rsidRPr="00404840" w:rsidRDefault="00206389" w:rsidP="00206389">
      <w:pPr>
        <w:autoSpaceDE w:val="0"/>
        <w:autoSpaceDN w:val="0"/>
        <w:adjustRightInd w:val="0"/>
        <w:spacing w:after="0" w:line="240" w:lineRule="auto"/>
        <w:ind w:firstLine="709"/>
        <w:jc w:val="both"/>
        <w:rPr>
          <w:rFonts w:cs="Times New Roman"/>
          <w:szCs w:val="28"/>
        </w:rPr>
      </w:pPr>
      <w:r w:rsidRPr="00404840">
        <w:rPr>
          <w:rFonts w:cs="Times New Roman"/>
          <w:szCs w:val="28"/>
        </w:rPr>
        <w:t>- типы торговых операций, на основании которых данные товары включаются в расчет индекса;</w:t>
      </w:r>
    </w:p>
    <w:p w:rsidR="00206389" w:rsidRPr="00404840" w:rsidRDefault="00206389" w:rsidP="00206389">
      <w:pPr>
        <w:autoSpaceDE w:val="0"/>
        <w:autoSpaceDN w:val="0"/>
        <w:adjustRightInd w:val="0"/>
        <w:spacing w:after="0" w:line="240" w:lineRule="auto"/>
        <w:ind w:firstLine="709"/>
        <w:jc w:val="both"/>
        <w:rPr>
          <w:rFonts w:cs="Times New Roman"/>
          <w:szCs w:val="28"/>
        </w:rPr>
      </w:pPr>
      <w:r w:rsidRPr="00404840">
        <w:rPr>
          <w:rFonts w:cs="Times New Roman"/>
          <w:szCs w:val="28"/>
        </w:rPr>
        <w:t>- веса определенных товарных групп при агрегировании, а также обоснования данных весов;</w:t>
      </w:r>
    </w:p>
    <w:p w:rsidR="00206389" w:rsidRPr="00404840" w:rsidRDefault="00206389" w:rsidP="00206389">
      <w:pPr>
        <w:autoSpaceDE w:val="0"/>
        <w:autoSpaceDN w:val="0"/>
        <w:adjustRightInd w:val="0"/>
        <w:spacing w:after="0" w:line="240" w:lineRule="auto"/>
        <w:ind w:firstLine="709"/>
        <w:jc w:val="both"/>
        <w:rPr>
          <w:rFonts w:cs="Times New Roman"/>
          <w:szCs w:val="28"/>
        </w:rPr>
      </w:pPr>
      <w:r w:rsidRPr="00404840">
        <w:rPr>
          <w:rFonts w:cs="Times New Roman"/>
          <w:szCs w:val="28"/>
        </w:rPr>
        <w:t xml:space="preserve">- формула и вид среднего, которые следует использовать при расчете усредненного соотношения цен данных товаров. </w:t>
      </w:r>
    </w:p>
    <w:p w:rsidR="00206389" w:rsidRPr="00404840" w:rsidRDefault="00206389" w:rsidP="00206389">
      <w:pPr>
        <w:autoSpaceDE w:val="0"/>
        <w:autoSpaceDN w:val="0"/>
        <w:adjustRightInd w:val="0"/>
        <w:spacing w:after="0" w:line="240" w:lineRule="auto"/>
        <w:ind w:firstLine="709"/>
        <w:jc w:val="both"/>
        <w:rPr>
          <w:rFonts w:cs="Times New Roman"/>
          <w:szCs w:val="28"/>
        </w:rPr>
      </w:pPr>
      <w:r w:rsidRPr="00404840">
        <w:rPr>
          <w:rFonts w:cs="Times New Roman"/>
          <w:szCs w:val="28"/>
        </w:rPr>
        <w:t>На все вышеприведенные вопросы относительно определения индекса цен, за исключением последнего, можно ответить, используя определение стоимостного агрегата, на котором основан индекс цен. Стоимостный агрегат V для определенного набора продуктов и операций рассчитывается следующим образом:</w:t>
      </w:r>
    </w:p>
    <w:p w:rsidR="00206389" w:rsidRPr="00404840" w:rsidRDefault="00206389" w:rsidP="00206389">
      <w:pPr>
        <w:autoSpaceDE w:val="0"/>
        <w:autoSpaceDN w:val="0"/>
        <w:adjustRightInd w:val="0"/>
        <w:spacing w:after="0" w:line="240" w:lineRule="auto"/>
        <w:ind w:firstLine="709"/>
        <w:jc w:val="center"/>
        <w:rPr>
          <w:rFonts w:cs="Times New Roman"/>
          <w:szCs w:val="28"/>
        </w:rPr>
      </w:pPr>
      <w:r w:rsidRPr="00404840">
        <w:rPr>
          <w:rFonts w:cs="Times New Roman"/>
          <w:noProof/>
          <w:szCs w:val="28"/>
          <w:lang w:eastAsia="ru-RU"/>
        </w:rPr>
        <w:drawing>
          <wp:inline distT="0" distB="0" distL="0" distR="0">
            <wp:extent cx="1644700" cy="903767"/>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44841" cy="903845"/>
                    </a:xfrm>
                    <a:prstGeom prst="rect">
                      <a:avLst/>
                    </a:prstGeom>
                    <a:noFill/>
                    <a:ln>
                      <a:noFill/>
                    </a:ln>
                  </pic:spPr>
                </pic:pic>
              </a:graphicData>
            </a:graphic>
          </wp:inline>
        </w:drawing>
      </w:r>
    </w:p>
    <w:p w:rsidR="00206389" w:rsidRPr="00404840" w:rsidRDefault="00206389" w:rsidP="00206389">
      <w:pPr>
        <w:autoSpaceDE w:val="0"/>
        <w:autoSpaceDN w:val="0"/>
        <w:adjustRightInd w:val="0"/>
        <w:spacing w:after="0" w:line="240" w:lineRule="auto"/>
        <w:ind w:firstLine="709"/>
        <w:jc w:val="both"/>
        <w:rPr>
          <w:rFonts w:cs="Times New Roman"/>
          <w:szCs w:val="28"/>
        </w:rPr>
      </w:pPr>
      <w:r w:rsidRPr="00404840">
        <w:rPr>
          <w:rFonts w:cs="Times New Roman"/>
          <w:szCs w:val="28"/>
        </w:rPr>
        <w:t>где рi — цена i-го продукта в национальных денежных единицах, qi — соответствующее количество продукта в операциях, осуществляемых в течение рассматриваемого периода, а подстрочный индекс i обозначает i-й элементарный продукт в группе из n продуктов, которые образуют выбранный стоимостный агрегат V. В определение стоимостного агрегата входит спецификация группы отобранных товаров (то есть какие продукты включать) и экономических агентов, участвующих в операциях с этими товарами (то есть какие включать операции), а также принципы оценки и время отражения в учете, которые определяют поведение экономических агентов, осуществляющих операции (определение цен).</w:t>
      </w:r>
    </w:p>
    <w:p w:rsidR="00206389" w:rsidRPr="00404840" w:rsidRDefault="00206389" w:rsidP="00206389">
      <w:pPr>
        <w:autoSpaceDE w:val="0"/>
        <w:autoSpaceDN w:val="0"/>
        <w:adjustRightInd w:val="0"/>
        <w:spacing w:after="0" w:line="240" w:lineRule="auto"/>
        <w:ind w:firstLine="709"/>
        <w:jc w:val="both"/>
        <w:rPr>
          <w:rFonts w:cs="Times New Roman"/>
          <w:szCs w:val="28"/>
        </w:rPr>
      </w:pPr>
      <w:r w:rsidRPr="00404840">
        <w:rPr>
          <w:rFonts w:cs="Times New Roman"/>
          <w:szCs w:val="28"/>
        </w:rPr>
        <w:t xml:space="preserve">В определение стоимостного агрегата входят включенные элементарные продукты, их оценка (pi), приемлемость операций и веса продуктов (qi). </w:t>
      </w:r>
    </w:p>
    <w:p w:rsidR="00206389" w:rsidRPr="00404840" w:rsidRDefault="00206389" w:rsidP="00206389">
      <w:pPr>
        <w:autoSpaceDE w:val="0"/>
        <w:autoSpaceDN w:val="0"/>
        <w:adjustRightInd w:val="0"/>
        <w:spacing w:after="0" w:line="240" w:lineRule="auto"/>
        <w:ind w:firstLine="709"/>
        <w:jc w:val="both"/>
        <w:rPr>
          <w:rFonts w:cs="Times New Roman"/>
          <w:szCs w:val="28"/>
        </w:rPr>
      </w:pPr>
      <w:r w:rsidRPr="00404840">
        <w:rPr>
          <w:rFonts w:cs="Times New Roman"/>
          <w:szCs w:val="28"/>
        </w:rPr>
        <w:t xml:space="preserve">Наиболее распространенным является метод учета инфляции посредством расчета </w:t>
      </w:r>
      <w:r w:rsidRPr="00404840">
        <w:rPr>
          <w:rFonts w:cs="Times New Roman"/>
          <w:b/>
          <w:szCs w:val="28"/>
        </w:rPr>
        <w:t>индекса потребительских цен</w:t>
      </w:r>
      <w:r w:rsidRPr="00404840">
        <w:rPr>
          <w:rFonts w:cs="Times New Roman"/>
          <w:szCs w:val="28"/>
        </w:rPr>
        <w:t xml:space="preserve"> (</w:t>
      </w:r>
      <w:r w:rsidRPr="00404840">
        <w:rPr>
          <w:rFonts w:cs="Times New Roman"/>
          <w:i/>
          <w:szCs w:val="28"/>
        </w:rPr>
        <w:t xml:space="preserve">Consumer Price Index- </w:t>
      </w:r>
      <w:r w:rsidRPr="00404840">
        <w:rPr>
          <w:rFonts w:cs="Times New Roman"/>
          <w:i/>
          <w:szCs w:val="28"/>
          <w:lang w:val="en-US"/>
        </w:rPr>
        <w:t>CPI</w:t>
      </w:r>
      <w:r w:rsidRPr="00404840">
        <w:rPr>
          <w:rFonts w:cs="Times New Roman"/>
          <w:szCs w:val="28"/>
        </w:rPr>
        <w:t xml:space="preserve">), который характеризует изменение во времени среднего уровня цен на фиксированную корзину товаров и услуг, приобретаемых населением для личного потребления. </w:t>
      </w:r>
    </w:p>
    <w:p w:rsidR="00206389" w:rsidRPr="00404840" w:rsidRDefault="00206389" w:rsidP="00206389">
      <w:pPr>
        <w:autoSpaceDE w:val="0"/>
        <w:autoSpaceDN w:val="0"/>
        <w:adjustRightInd w:val="0"/>
        <w:spacing w:after="0" w:line="240" w:lineRule="auto"/>
        <w:ind w:firstLine="709"/>
        <w:jc w:val="both"/>
        <w:rPr>
          <w:rFonts w:cs="Times New Roman"/>
          <w:szCs w:val="28"/>
        </w:rPr>
      </w:pPr>
      <w:r w:rsidRPr="00404840">
        <w:rPr>
          <w:rFonts w:cs="Times New Roman"/>
          <w:szCs w:val="28"/>
        </w:rPr>
        <w:lastRenderedPageBreak/>
        <w:t>Индекс потребительских цен (</w:t>
      </w:r>
      <w:r w:rsidRPr="00404840">
        <w:rPr>
          <w:rFonts w:cs="Times New Roman"/>
          <w:i/>
          <w:szCs w:val="28"/>
        </w:rPr>
        <w:t>далее-ИПЦ</w:t>
      </w:r>
      <w:r w:rsidRPr="00404840">
        <w:rPr>
          <w:rFonts w:cs="Times New Roman"/>
          <w:szCs w:val="28"/>
        </w:rPr>
        <w:t>) рассчитывается для выявления реальной динамики потребительских цен, отражающей их изменения, как в регионах, так и по стране в целом, а также обеспечивает детальное представление о движении цен на конкретные группы товаров и услуг.</w:t>
      </w:r>
    </w:p>
    <w:p w:rsidR="00206389" w:rsidRPr="00404840" w:rsidRDefault="00206389" w:rsidP="00206389">
      <w:pPr>
        <w:autoSpaceDE w:val="0"/>
        <w:autoSpaceDN w:val="0"/>
        <w:adjustRightInd w:val="0"/>
        <w:spacing w:after="0" w:line="240" w:lineRule="auto"/>
        <w:ind w:firstLine="709"/>
        <w:jc w:val="both"/>
        <w:rPr>
          <w:rFonts w:cs="Times New Roman"/>
          <w:szCs w:val="28"/>
        </w:rPr>
      </w:pPr>
      <w:r w:rsidRPr="00404840">
        <w:rPr>
          <w:rFonts w:cs="Times New Roman"/>
          <w:szCs w:val="28"/>
        </w:rPr>
        <w:t xml:space="preserve">Как общепризнанный показатель инфляции, ИПЦ используется при изучении динамики социально-экономических явлений, для анализа и прогноза ценовых процессов в экономике, в денежно-кредитной, финансовой, налоговой, бюджетной и социальной политике государства. </w:t>
      </w:r>
    </w:p>
    <w:p w:rsidR="00206389" w:rsidRPr="00404840" w:rsidRDefault="00206389" w:rsidP="00206389">
      <w:pPr>
        <w:autoSpaceDE w:val="0"/>
        <w:autoSpaceDN w:val="0"/>
        <w:adjustRightInd w:val="0"/>
        <w:spacing w:after="0" w:line="240" w:lineRule="auto"/>
        <w:ind w:firstLine="709"/>
        <w:jc w:val="both"/>
        <w:rPr>
          <w:rFonts w:cs="Times New Roman"/>
          <w:szCs w:val="28"/>
        </w:rPr>
      </w:pPr>
      <w:r w:rsidRPr="00404840">
        <w:rPr>
          <w:rFonts w:cs="Times New Roman"/>
          <w:szCs w:val="28"/>
        </w:rPr>
        <w:t xml:space="preserve">В казахстанской практике ИПЦ рассчитывается на основании </w:t>
      </w:r>
      <w:r w:rsidRPr="00404840">
        <w:rPr>
          <w:rFonts w:cs="Times New Roman"/>
          <w:b/>
          <w:szCs w:val="28"/>
        </w:rPr>
        <w:t xml:space="preserve">«Методологии построения индекса потребительских цен» </w:t>
      </w:r>
      <w:r w:rsidRPr="00404840">
        <w:rPr>
          <w:rFonts w:cs="Times New Roman"/>
          <w:szCs w:val="28"/>
        </w:rPr>
        <w:t>(</w:t>
      </w:r>
      <w:r w:rsidRPr="00404840">
        <w:rPr>
          <w:rFonts w:cs="Times New Roman"/>
          <w:i/>
          <w:szCs w:val="28"/>
        </w:rPr>
        <w:t>далее – Методология</w:t>
      </w:r>
      <w:r w:rsidRPr="00404840">
        <w:rPr>
          <w:rFonts w:cs="Times New Roman"/>
          <w:szCs w:val="28"/>
        </w:rPr>
        <w:t>), утвержденной приказом исполняющего обязанности Председателя  Комитета по статистике Министерства национальной экономики Республики Казахстан (</w:t>
      </w:r>
      <w:r w:rsidRPr="00404840">
        <w:rPr>
          <w:rFonts w:cs="Times New Roman"/>
          <w:i/>
          <w:szCs w:val="28"/>
        </w:rPr>
        <w:t>далее- КС РК</w:t>
      </w:r>
      <w:r w:rsidRPr="00404840">
        <w:rPr>
          <w:rFonts w:cs="Times New Roman"/>
          <w:szCs w:val="28"/>
        </w:rPr>
        <w:t xml:space="preserve">) от 30 декабря 2015 года № 230. Указанная методология, в свою очередь, сформирована в соответствии с Законом Республики Казахстан от 19 марта 2010 года «О государственной статистике», а также передовым международным опытом, изложенным в «Руководстве по индексу потребительских цен: теория и практика» (2004 год), подготовленном Международной организацией труда </w:t>
      </w:r>
      <w:r w:rsidRPr="00404840">
        <w:rPr>
          <w:rFonts w:cs="Times New Roman"/>
          <w:i/>
          <w:szCs w:val="28"/>
        </w:rPr>
        <w:t>(далее – МОТ)</w:t>
      </w:r>
      <w:r w:rsidRPr="00404840">
        <w:rPr>
          <w:rFonts w:cs="Times New Roman"/>
          <w:szCs w:val="28"/>
        </w:rPr>
        <w:t xml:space="preserve">, Международным Валютным Фондом </w:t>
      </w:r>
      <w:r w:rsidRPr="00404840">
        <w:rPr>
          <w:rFonts w:cs="Times New Roman"/>
          <w:i/>
          <w:szCs w:val="28"/>
        </w:rPr>
        <w:t>(далее – МВФ)</w:t>
      </w:r>
      <w:r w:rsidRPr="00404840">
        <w:rPr>
          <w:rFonts w:cs="Times New Roman"/>
          <w:szCs w:val="28"/>
        </w:rPr>
        <w:t xml:space="preserve">, Организацией экономического сотрудничества и развития </w:t>
      </w:r>
      <w:r w:rsidRPr="00404840">
        <w:rPr>
          <w:rFonts w:cs="Times New Roman"/>
          <w:i/>
          <w:szCs w:val="28"/>
        </w:rPr>
        <w:t>(далее – ОЭСР)</w:t>
      </w:r>
      <w:r w:rsidRPr="00404840">
        <w:rPr>
          <w:rFonts w:cs="Times New Roman"/>
          <w:szCs w:val="28"/>
        </w:rPr>
        <w:t>, Статистическим бюро Европейских сообществ, Европейской экономической комиссией Организации Объединенных Наций и Всемирным банком,  «Практическом руководстве по индексу потребительских цен» (2009 год),  «Регламенте  Европейской комиссии по работе с сезонными товарами» (№330, 2009 год), а также широко применяются положения «Системы национальных счетов» 2008 года.</w:t>
      </w:r>
    </w:p>
    <w:p w:rsidR="00206389" w:rsidRPr="00404840" w:rsidRDefault="00206389" w:rsidP="00206389">
      <w:pPr>
        <w:autoSpaceDE w:val="0"/>
        <w:autoSpaceDN w:val="0"/>
        <w:adjustRightInd w:val="0"/>
        <w:spacing w:after="0" w:line="240" w:lineRule="auto"/>
        <w:ind w:firstLine="709"/>
        <w:jc w:val="both"/>
        <w:rPr>
          <w:rFonts w:cs="Times New Roman"/>
          <w:szCs w:val="28"/>
        </w:rPr>
      </w:pPr>
      <w:r w:rsidRPr="00404840">
        <w:rPr>
          <w:rFonts w:cs="Times New Roman"/>
          <w:szCs w:val="28"/>
        </w:rPr>
        <w:t>Согласно методологии Комитета по статистике РК формирование ИПЦ является основой для расчета индексов цен для групп населения с различным уровнем среднедушевых денежных доходов, базовой инфляции, индекса розничных цен. Информационной базой для их исчисления являются данные об уровне цен на потребительские товары и платные услуги, приобретаемые населением, структура потребительских расходов домашних хозяйств, розничного товарооборота.</w:t>
      </w:r>
    </w:p>
    <w:p w:rsidR="00206389" w:rsidRPr="00404840" w:rsidRDefault="00206389" w:rsidP="00206389">
      <w:pPr>
        <w:autoSpaceDE w:val="0"/>
        <w:autoSpaceDN w:val="0"/>
        <w:adjustRightInd w:val="0"/>
        <w:spacing w:after="0" w:line="240" w:lineRule="auto"/>
        <w:ind w:firstLine="709"/>
        <w:jc w:val="both"/>
        <w:rPr>
          <w:rFonts w:cs="Times New Roman"/>
          <w:szCs w:val="28"/>
        </w:rPr>
      </w:pPr>
      <w:r w:rsidRPr="00404840">
        <w:rPr>
          <w:rFonts w:cs="Times New Roman"/>
          <w:szCs w:val="28"/>
        </w:rPr>
        <w:t>Следуя утвержденной методологии, ИПЦ рассчитывается в два этапа: первым этапом вычисляются индексы цен элементарного агрегата, так называемый индивидуальный индекс цен, на втором этапе – агрегированные индексы цен, представляющие собой индексы цен более высокого уровня путем агрегирования индивидуальных индексов по каждой товарной позиции каждого региона. Расчет индивидуального индекса производится на основании расчета соотношения невзвешенных средних геометрических цен по формуле индекса Джевонса.</w:t>
      </w:r>
    </w:p>
    <w:p w:rsidR="00206389" w:rsidRPr="00404840" w:rsidRDefault="00206389" w:rsidP="00206389">
      <w:pPr>
        <w:autoSpaceDE w:val="0"/>
        <w:autoSpaceDN w:val="0"/>
        <w:adjustRightInd w:val="0"/>
        <w:spacing w:after="0" w:line="240" w:lineRule="auto"/>
        <w:ind w:firstLine="709"/>
        <w:jc w:val="both"/>
        <w:rPr>
          <w:rFonts w:cs="Times New Roman"/>
          <w:szCs w:val="28"/>
        </w:rPr>
      </w:pPr>
      <w:r w:rsidRPr="00404840">
        <w:rPr>
          <w:rFonts w:cs="Times New Roman"/>
          <w:szCs w:val="28"/>
        </w:rPr>
        <w:lastRenderedPageBreak/>
        <w:t>Агрегированные индексы цен по классам, группам, разделам на национальном уровне рассчитываются как средневзвешенные значения индивидуальных индексов цен по модифицированной формуле Ласпейреса.</w:t>
      </w:r>
    </w:p>
    <w:p w:rsidR="00206389" w:rsidRPr="00404840" w:rsidRDefault="00206389" w:rsidP="00206389">
      <w:pPr>
        <w:autoSpaceDE w:val="0"/>
        <w:autoSpaceDN w:val="0"/>
        <w:adjustRightInd w:val="0"/>
        <w:spacing w:after="0" w:line="240" w:lineRule="auto"/>
        <w:ind w:firstLine="709"/>
        <w:jc w:val="both"/>
        <w:rPr>
          <w:rFonts w:cs="Times New Roman"/>
          <w:szCs w:val="28"/>
        </w:rPr>
      </w:pPr>
      <w:r w:rsidRPr="00404840">
        <w:rPr>
          <w:rFonts w:cs="Times New Roman"/>
          <w:b/>
          <w:i/>
          <w:szCs w:val="28"/>
        </w:rPr>
        <w:t>Индекс цен Лайспейреса (Laspeyres)</w:t>
      </w:r>
      <w:r w:rsidRPr="00404840">
        <w:rPr>
          <w:rFonts w:cs="Times New Roman"/>
          <w:szCs w:val="28"/>
        </w:rPr>
        <w:t xml:space="preserve"> рассчитывается как среднее арифметическое на фиксированный объем товаров и услуг, периодически скорректированный с учетом изменений в структуре производства и потребления (отношение арифметической суммы стоимости продукции, реализованной в базисном (предыдущем) периоде по ценам отчетного периода к фактической стоимости реализованной продукции в отчетном периоде).</w:t>
      </w:r>
    </w:p>
    <w:p w:rsidR="00206389" w:rsidRPr="00404840" w:rsidRDefault="00206389" w:rsidP="00206389">
      <w:pPr>
        <w:autoSpaceDE w:val="0"/>
        <w:autoSpaceDN w:val="0"/>
        <w:adjustRightInd w:val="0"/>
        <w:spacing w:after="0" w:line="240" w:lineRule="auto"/>
        <w:ind w:firstLine="709"/>
        <w:jc w:val="center"/>
        <w:rPr>
          <w:rFonts w:cs="Times New Roman"/>
          <w:szCs w:val="28"/>
        </w:rPr>
      </w:pPr>
      <w:r w:rsidRPr="00404840">
        <w:rPr>
          <w:rFonts w:cs="Times New Roman"/>
          <w:noProof/>
          <w:szCs w:val="28"/>
          <w:lang w:eastAsia="ru-RU"/>
        </w:rPr>
        <w:drawing>
          <wp:inline distT="0" distB="0" distL="0" distR="0">
            <wp:extent cx="2424223" cy="1401217"/>
            <wp:effectExtent l="0" t="0" r="0" b="889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19585" cy="1398536"/>
                    </a:xfrm>
                    <a:prstGeom prst="rect">
                      <a:avLst/>
                    </a:prstGeom>
                    <a:noFill/>
                    <a:ln>
                      <a:noFill/>
                    </a:ln>
                  </pic:spPr>
                </pic:pic>
              </a:graphicData>
            </a:graphic>
          </wp:inline>
        </w:drawing>
      </w:r>
    </w:p>
    <w:p w:rsidR="00206389" w:rsidRPr="00404840" w:rsidRDefault="00206389" w:rsidP="00206389">
      <w:pPr>
        <w:autoSpaceDE w:val="0"/>
        <w:autoSpaceDN w:val="0"/>
        <w:adjustRightInd w:val="0"/>
        <w:spacing w:after="0" w:line="240" w:lineRule="auto"/>
        <w:ind w:firstLine="709"/>
        <w:jc w:val="both"/>
        <w:rPr>
          <w:rFonts w:cs="Times New Roman"/>
          <w:szCs w:val="28"/>
        </w:rPr>
      </w:pPr>
      <w:r w:rsidRPr="00404840">
        <w:rPr>
          <w:rFonts w:cs="Times New Roman"/>
          <w:szCs w:val="28"/>
        </w:rPr>
        <w:t>Индекс цен Ласпейреса P(L) можно переписать как среднее арифметическое n соотношений цен pi1/pi0, взвешенных по долям расходов базисного периода. Формула Ласпейреса (до совсем недавнего времени) широко применялась во всем мире в качестве теоретической основы для построения индексов потребительских цен (ИПЦ). Для ее использования статистическому ведомству следует только собрать информацию о долях расходов в соответствии с определением индекса для базисного периода 0, а затем регулярно собирать только информацию о ценах. Таким образом, ИПЦ по формуле Ласпейреса может быть построен на регулярной основе при отсутствии информации о количествах по текущему периоду.</w:t>
      </w:r>
    </w:p>
    <w:p w:rsidR="00206389" w:rsidRPr="00404840" w:rsidRDefault="00206389" w:rsidP="00206389">
      <w:pPr>
        <w:autoSpaceDE w:val="0"/>
        <w:autoSpaceDN w:val="0"/>
        <w:adjustRightInd w:val="0"/>
        <w:spacing w:after="0" w:line="240" w:lineRule="auto"/>
        <w:ind w:firstLine="709"/>
        <w:jc w:val="both"/>
        <w:rPr>
          <w:rFonts w:cs="Times New Roman"/>
          <w:szCs w:val="28"/>
        </w:rPr>
      </w:pPr>
      <w:r w:rsidRPr="00404840">
        <w:rPr>
          <w:rFonts w:cs="Times New Roman"/>
          <w:szCs w:val="28"/>
        </w:rPr>
        <w:t>Использование модифицированной формулы Ласпейреса, как то принято в казахстанской практике расчета инфляции, позволяет исчислять индексы с большим уровнем агрегации и имеет целый ряд преимуществ:</w:t>
      </w:r>
    </w:p>
    <w:p w:rsidR="00206389" w:rsidRPr="00404840" w:rsidRDefault="00206389" w:rsidP="00206389">
      <w:pPr>
        <w:autoSpaceDE w:val="0"/>
        <w:autoSpaceDN w:val="0"/>
        <w:adjustRightInd w:val="0"/>
        <w:spacing w:after="0" w:line="240" w:lineRule="auto"/>
        <w:ind w:firstLine="709"/>
        <w:jc w:val="both"/>
        <w:rPr>
          <w:rFonts w:cs="Times New Roman"/>
          <w:szCs w:val="28"/>
        </w:rPr>
      </w:pPr>
      <w:r w:rsidRPr="00404840">
        <w:rPr>
          <w:rFonts w:cs="Times New Roman"/>
          <w:szCs w:val="28"/>
        </w:rPr>
        <w:t>1) реально показывает чистое ценовое сравнение, так как для его подсчета используются постоянные веса, в отличие от индекса Пааше, основанного на весах текущего периода и соответственно отражающего не только изменение цен, но и количеств (объемов потребления);</w:t>
      </w:r>
    </w:p>
    <w:p w:rsidR="00206389" w:rsidRPr="00404840" w:rsidRDefault="00206389" w:rsidP="00206389">
      <w:pPr>
        <w:autoSpaceDE w:val="0"/>
        <w:autoSpaceDN w:val="0"/>
        <w:adjustRightInd w:val="0"/>
        <w:spacing w:after="0" w:line="240" w:lineRule="auto"/>
        <w:ind w:firstLine="709"/>
        <w:jc w:val="both"/>
        <w:rPr>
          <w:rFonts w:cs="Times New Roman"/>
          <w:szCs w:val="28"/>
        </w:rPr>
      </w:pPr>
      <w:r w:rsidRPr="00404840">
        <w:rPr>
          <w:rFonts w:cs="Times New Roman"/>
          <w:szCs w:val="28"/>
        </w:rPr>
        <w:t>2) значительно ускоряет процесс подсчета, так как для взвешивания используются данные предыдущего периода, имеющиеся заранее;</w:t>
      </w:r>
    </w:p>
    <w:p w:rsidR="00206389" w:rsidRPr="00404840" w:rsidRDefault="00206389" w:rsidP="00206389">
      <w:pPr>
        <w:autoSpaceDE w:val="0"/>
        <w:autoSpaceDN w:val="0"/>
        <w:adjustRightInd w:val="0"/>
        <w:spacing w:after="0" w:line="240" w:lineRule="auto"/>
        <w:ind w:firstLine="709"/>
        <w:jc w:val="both"/>
        <w:rPr>
          <w:rFonts w:cs="Times New Roman"/>
          <w:szCs w:val="28"/>
        </w:rPr>
      </w:pPr>
      <w:r w:rsidRPr="00404840">
        <w:rPr>
          <w:rFonts w:cs="Times New Roman"/>
          <w:szCs w:val="28"/>
        </w:rPr>
        <w:t>3) позволяет в течение года учитывать изменение ассортимента товаров (услуг), вызванное переменами в поведении потребителей;</w:t>
      </w:r>
    </w:p>
    <w:p w:rsidR="00206389" w:rsidRPr="00404840" w:rsidRDefault="00206389" w:rsidP="00206389">
      <w:pPr>
        <w:autoSpaceDE w:val="0"/>
        <w:autoSpaceDN w:val="0"/>
        <w:adjustRightInd w:val="0"/>
        <w:spacing w:after="0" w:line="240" w:lineRule="auto"/>
        <w:ind w:firstLine="709"/>
        <w:jc w:val="both"/>
        <w:rPr>
          <w:rFonts w:cs="Times New Roman"/>
          <w:szCs w:val="28"/>
        </w:rPr>
      </w:pPr>
      <w:r w:rsidRPr="00404840">
        <w:rPr>
          <w:rFonts w:cs="Times New Roman"/>
          <w:szCs w:val="28"/>
        </w:rPr>
        <w:t>4) лучше поддается экономической интерпретации, так как влияние цены и количества прослеживается раздельно.</w:t>
      </w:r>
    </w:p>
    <w:p w:rsidR="00206389" w:rsidRPr="00404840" w:rsidRDefault="00206389" w:rsidP="00206389">
      <w:pPr>
        <w:autoSpaceDE w:val="0"/>
        <w:autoSpaceDN w:val="0"/>
        <w:adjustRightInd w:val="0"/>
        <w:spacing w:after="0" w:line="240" w:lineRule="auto"/>
        <w:ind w:firstLine="709"/>
        <w:jc w:val="both"/>
        <w:rPr>
          <w:rFonts w:cs="Times New Roman"/>
          <w:szCs w:val="28"/>
        </w:rPr>
      </w:pPr>
      <w:r w:rsidRPr="00404840">
        <w:rPr>
          <w:rFonts w:cs="Times New Roman"/>
          <w:szCs w:val="28"/>
        </w:rPr>
        <w:t>Эти преимущества имеют силу, когда выполняются следующие требования:</w:t>
      </w:r>
    </w:p>
    <w:p w:rsidR="00206389" w:rsidRPr="00404840" w:rsidRDefault="00206389" w:rsidP="00206389">
      <w:pPr>
        <w:autoSpaceDE w:val="0"/>
        <w:autoSpaceDN w:val="0"/>
        <w:adjustRightInd w:val="0"/>
        <w:spacing w:after="0" w:line="240" w:lineRule="auto"/>
        <w:ind w:firstLine="709"/>
        <w:jc w:val="both"/>
        <w:rPr>
          <w:rFonts w:cs="Times New Roman"/>
          <w:szCs w:val="28"/>
        </w:rPr>
      </w:pPr>
      <w:r w:rsidRPr="00404840">
        <w:rPr>
          <w:rFonts w:cs="Times New Roman"/>
          <w:szCs w:val="28"/>
        </w:rPr>
        <w:t>1) схема взвешивания не остается неизменной долгое время;</w:t>
      </w:r>
    </w:p>
    <w:p w:rsidR="00206389" w:rsidRPr="00404840" w:rsidRDefault="00206389" w:rsidP="00206389">
      <w:pPr>
        <w:autoSpaceDE w:val="0"/>
        <w:autoSpaceDN w:val="0"/>
        <w:adjustRightInd w:val="0"/>
        <w:spacing w:after="0" w:line="240" w:lineRule="auto"/>
        <w:ind w:firstLine="709"/>
        <w:jc w:val="both"/>
        <w:rPr>
          <w:rFonts w:cs="Times New Roman"/>
          <w:szCs w:val="28"/>
        </w:rPr>
      </w:pPr>
      <w:r w:rsidRPr="00404840">
        <w:rPr>
          <w:rFonts w:cs="Times New Roman"/>
          <w:szCs w:val="28"/>
        </w:rPr>
        <w:t xml:space="preserve">2) фиксированные веса распределяются до уровня соединенных гомогенных групп товаров (услуг), для которых они рассчитаны. Ниже этого </w:t>
      </w:r>
      <w:r w:rsidRPr="00404840">
        <w:rPr>
          <w:rFonts w:cs="Times New Roman"/>
          <w:szCs w:val="28"/>
        </w:rPr>
        <w:lastRenderedPageBreak/>
        <w:t>уровня при изменении ассортимента производится замена товаров (услуг)-представителей.</w:t>
      </w:r>
    </w:p>
    <w:p w:rsidR="00206389" w:rsidRPr="00404840" w:rsidRDefault="00206389" w:rsidP="00206389">
      <w:pPr>
        <w:autoSpaceDE w:val="0"/>
        <w:autoSpaceDN w:val="0"/>
        <w:adjustRightInd w:val="0"/>
        <w:spacing w:after="0" w:line="240" w:lineRule="auto"/>
        <w:ind w:firstLine="709"/>
        <w:jc w:val="both"/>
        <w:rPr>
          <w:rFonts w:cs="Times New Roman"/>
          <w:szCs w:val="28"/>
        </w:rPr>
      </w:pPr>
      <w:r w:rsidRPr="00404840">
        <w:rPr>
          <w:rFonts w:cs="Times New Roman"/>
          <w:b/>
          <w:i/>
          <w:szCs w:val="28"/>
        </w:rPr>
        <w:t>Индекс Пааше (Paasche)</w:t>
      </w:r>
      <w:r w:rsidRPr="00404840">
        <w:rPr>
          <w:rFonts w:cs="Times New Roman"/>
          <w:szCs w:val="28"/>
        </w:rPr>
        <w:t xml:space="preserve"> является альтернативным методом расчета инфляции индексу Ласпейреса, продолжает подход на основе фиксированной корзины товаров </w:t>
      </w:r>
      <w:r w:rsidRPr="00404840">
        <w:rPr>
          <w:rFonts w:cs="Times New Roman"/>
          <w:i/>
          <w:szCs w:val="28"/>
        </w:rPr>
        <w:t>(постоянный перечень товаров, включаемых в расчет индекса)</w:t>
      </w:r>
      <w:r w:rsidRPr="00404840">
        <w:rPr>
          <w:rFonts w:cs="Times New Roman"/>
          <w:szCs w:val="28"/>
        </w:rPr>
        <w:t xml:space="preserve"> и представляет собой отношение арифметической суммы фактической стоимости  продукции отчетного периода к арифметической стоимости продукции, реализованной в отчетном периоде по ценам базисного периода.</w:t>
      </w:r>
    </w:p>
    <w:p w:rsidR="00206389" w:rsidRPr="00404840" w:rsidRDefault="00206389" w:rsidP="00206389">
      <w:pPr>
        <w:autoSpaceDE w:val="0"/>
        <w:autoSpaceDN w:val="0"/>
        <w:adjustRightInd w:val="0"/>
        <w:spacing w:after="0" w:line="240" w:lineRule="auto"/>
        <w:ind w:firstLine="709"/>
        <w:jc w:val="center"/>
        <w:rPr>
          <w:rFonts w:cs="Times New Roman"/>
          <w:szCs w:val="28"/>
        </w:rPr>
      </w:pPr>
      <w:r w:rsidRPr="00404840">
        <w:rPr>
          <w:rFonts w:cs="Times New Roman"/>
          <w:noProof/>
          <w:szCs w:val="28"/>
          <w:lang w:eastAsia="ru-RU"/>
        </w:rPr>
        <w:drawing>
          <wp:inline distT="0" distB="0" distL="0" distR="0">
            <wp:extent cx="2243470" cy="1103238"/>
            <wp:effectExtent l="0" t="0" r="4445" b="190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245899" cy="1104433"/>
                    </a:xfrm>
                    <a:prstGeom prst="rect">
                      <a:avLst/>
                    </a:prstGeom>
                    <a:noFill/>
                    <a:ln>
                      <a:noFill/>
                    </a:ln>
                  </pic:spPr>
                </pic:pic>
              </a:graphicData>
            </a:graphic>
          </wp:inline>
        </w:drawing>
      </w:r>
    </w:p>
    <w:p w:rsidR="00206389" w:rsidRPr="00404840" w:rsidRDefault="00206389" w:rsidP="00206389">
      <w:pPr>
        <w:autoSpaceDE w:val="0"/>
        <w:autoSpaceDN w:val="0"/>
        <w:adjustRightInd w:val="0"/>
        <w:spacing w:after="0" w:line="240" w:lineRule="auto"/>
        <w:ind w:firstLine="709"/>
        <w:jc w:val="both"/>
        <w:rPr>
          <w:rFonts w:cs="Times New Roman"/>
          <w:szCs w:val="28"/>
        </w:rPr>
      </w:pPr>
      <w:r w:rsidRPr="00404840">
        <w:rPr>
          <w:rFonts w:cs="Times New Roman"/>
          <w:szCs w:val="28"/>
        </w:rPr>
        <w:t>При использовании индекса  Пааше не учитываются товары, спрос на которые сократился, поэтому при исчислении индекса цен по формуле Пааше необходим частый перерасчет информации для формирования правильной системы весов. Отсутствие информации о количествах текущего периода не позволяет статистическим ведомствам своевременно строить индексы Пааше.</w:t>
      </w:r>
    </w:p>
    <w:p w:rsidR="00206389" w:rsidRPr="00404840" w:rsidRDefault="00206389" w:rsidP="00206389">
      <w:pPr>
        <w:autoSpaceDE w:val="0"/>
        <w:autoSpaceDN w:val="0"/>
        <w:adjustRightInd w:val="0"/>
        <w:spacing w:after="0" w:line="240" w:lineRule="auto"/>
        <w:ind w:firstLine="709"/>
        <w:jc w:val="both"/>
        <w:rPr>
          <w:rFonts w:cs="Times New Roman"/>
          <w:szCs w:val="28"/>
        </w:rPr>
      </w:pPr>
      <w:r w:rsidRPr="00404840">
        <w:rPr>
          <w:rFonts w:cs="Times New Roman"/>
          <w:szCs w:val="28"/>
        </w:rPr>
        <w:t xml:space="preserve">Как упоминалось выше, поскольку индексы цен Пааше и Ласпейреса являются одинаково правдоподобными, но часто дают различные оценки величины агрегатного изменения цен в периоде 1 по сравнению с периодом 0, полезно рассмотреть такой метод, как использование равномерно взвешенного среднего этих индексов цен фиксированной корзины в качестве единой формулы оценки изменения цен в одном периоде по сравнению с другим. Классическим примером такой симметрической средней является геометрическое среднее индексов Ласпейреса и Пааше, которое приводит к </w:t>
      </w:r>
      <w:r w:rsidRPr="00404840">
        <w:rPr>
          <w:rFonts w:cs="Times New Roman"/>
          <w:b/>
          <w:i/>
          <w:szCs w:val="28"/>
        </w:rPr>
        <w:t>«идеальному» индексу Фишера (Fisher)</w:t>
      </w:r>
      <w:r w:rsidRPr="00404840">
        <w:rPr>
          <w:rFonts w:cs="Times New Roman"/>
          <w:szCs w:val="28"/>
        </w:rPr>
        <w:t>, определяемому следующим образом:</w:t>
      </w:r>
    </w:p>
    <w:p w:rsidR="00206389" w:rsidRPr="00404840" w:rsidRDefault="00206389" w:rsidP="00206389">
      <w:pPr>
        <w:autoSpaceDE w:val="0"/>
        <w:autoSpaceDN w:val="0"/>
        <w:adjustRightInd w:val="0"/>
        <w:spacing w:after="0" w:line="240" w:lineRule="auto"/>
        <w:ind w:firstLine="709"/>
        <w:jc w:val="center"/>
        <w:rPr>
          <w:rFonts w:cs="Times New Roman"/>
          <w:szCs w:val="28"/>
        </w:rPr>
      </w:pPr>
      <w:r w:rsidRPr="00404840">
        <w:rPr>
          <w:rFonts w:cs="Times New Roman"/>
          <w:noProof/>
          <w:szCs w:val="28"/>
          <w:lang w:eastAsia="ru-RU"/>
        </w:rPr>
        <w:drawing>
          <wp:inline distT="0" distB="0" distL="0" distR="0">
            <wp:extent cx="4468001" cy="552893"/>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03417" cy="557276"/>
                    </a:xfrm>
                    <a:prstGeom prst="rect">
                      <a:avLst/>
                    </a:prstGeom>
                    <a:noFill/>
                    <a:ln>
                      <a:noFill/>
                    </a:ln>
                  </pic:spPr>
                </pic:pic>
              </a:graphicData>
            </a:graphic>
          </wp:inline>
        </w:drawing>
      </w:r>
    </w:p>
    <w:p w:rsidR="00206389" w:rsidRPr="00404840" w:rsidRDefault="00206389" w:rsidP="00206389">
      <w:pPr>
        <w:autoSpaceDE w:val="0"/>
        <w:autoSpaceDN w:val="0"/>
        <w:adjustRightInd w:val="0"/>
        <w:spacing w:after="0" w:line="240" w:lineRule="auto"/>
        <w:ind w:firstLine="709"/>
        <w:jc w:val="both"/>
        <w:rPr>
          <w:rFonts w:cs="Times New Roman"/>
          <w:szCs w:val="28"/>
        </w:rPr>
      </w:pPr>
    </w:p>
    <w:p w:rsidR="00206389" w:rsidRPr="00404840" w:rsidRDefault="00206389" w:rsidP="00206389">
      <w:pPr>
        <w:autoSpaceDE w:val="0"/>
        <w:autoSpaceDN w:val="0"/>
        <w:adjustRightInd w:val="0"/>
        <w:spacing w:after="0" w:line="240" w:lineRule="auto"/>
        <w:ind w:firstLine="709"/>
        <w:jc w:val="both"/>
        <w:rPr>
          <w:rFonts w:cs="Times New Roman"/>
          <w:szCs w:val="28"/>
        </w:rPr>
      </w:pPr>
      <w:r w:rsidRPr="00404840">
        <w:rPr>
          <w:rFonts w:cs="Times New Roman"/>
          <w:szCs w:val="28"/>
        </w:rPr>
        <w:t xml:space="preserve">Мировой практикой расчета индекса потребительских цен предусмотрены ряд иных методов, применяемых для анализа и оценки инфляционных процессов и широко описанных в упомянутом выше </w:t>
      </w:r>
      <w:r w:rsidRPr="00404840">
        <w:rPr>
          <w:rFonts w:cs="Times New Roman"/>
          <w:b/>
          <w:szCs w:val="28"/>
        </w:rPr>
        <w:t xml:space="preserve">«Руководстве по индексу потребительских цен: теория и практика» </w:t>
      </w:r>
      <w:r w:rsidRPr="00404840">
        <w:rPr>
          <w:rFonts w:cs="Times New Roman"/>
          <w:i/>
          <w:szCs w:val="28"/>
        </w:rPr>
        <w:t>(далее – Руководство)</w:t>
      </w:r>
      <w:r w:rsidRPr="00404840">
        <w:rPr>
          <w:rFonts w:cs="Times New Roman"/>
          <w:szCs w:val="28"/>
        </w:rPr>
        <w:t xml:space="preserve">, подготовленным под редакцией МВФ. </w:t>
      </w:r>
    </w:p>
    <w:p w:rsidR="00206389" w:rsidRPr="00404840" w:rsidRDefault="00206389" w:rsidP="00206389">
      <w:pPr>
        <w:autoSpaceDE w:val="0"/>
        <w:autoSpaceDN w:val="0"/>
        <w:adjustRightInd w:val="0"/>
        <w:spacing w:after="0" w:line="240" w:lineRule="auto"/>
        <w:ind w:firstLine="709"/>
        <w:jc w:val="both"/>
        <w:rPr>
          <w:rFonts w:cs="Times New Roman"/>
          <w:szCs w:val="28"/>
        </w:rPr>
      </w:pPr>
      <w:r w:rsidRPr="00404840">
        <w:rPr>
          <w:rFonts w:cs="Times New Roman"/>
          <w:szCs w:val="28"/>
        </w:rPr>
        <w:t xml:space="preserve">В качестве основных индексов цен в национальной экономике, а также связанных с ними агрегатов системы национальных счетов, помимо ИПЦ, выделяют также </w:t>
      </w:r>
      <w:r w:rsidRPr="00404840">
        <w:rPr>
          <w:rFonts w:cs="Times New Roman"/>
          <w:b/>
          <w:szCs w:val="28"/>
        </w:rPr>
        <w:t>индекс цен производителей</w:t>
      </w:r>
      <w:r w:rsidRPr="00404840">
        <w:rPr>
          <w:rFonts w:cs="Times New Roman"/>
          <w:szCs w:val="28"/>
        </w:rPr>
        <w:t xml:space="preserve"> (</w:t>
      </w:r>
      <w:r w:rsidRPr="00404840">
        <w:rPr>
          <w:rFonts w:cs="Times New Roman"/>
          <w:i/>
          <w:szCs w:val="28"/>
        </w:rPr>
        <w:t>далее - ИЦП</w:t>
      </w:r>
      <w:r w:rsidRPr="00404840">
        <w:rPr>
          <w:rFonts w:cs="Times New Roman"/>
          <w:szCs w:val="28"/>
        </w:rPr>
        <w:t xml:space="preserve">), рассчитываемый в значениях выпуска продукции производителей-резидентов (в Таблице «Ресурсы-Использование» межотраслевого баланса), а также </w:t>
      </w:r>
      <w:r w:rsidRPr="00404840">
        <w:rPr>
          <w:rFonts w:cs="Times New Roman"/>
          <w:b/>
          <w:szCs w:val="28"/>
        </w:rPr>
        <w:t xml:space="preserve">индекс </w:t>
      </w:r>
      <w:r w:rsidRPr="00404840">
        <w:rPr>
          <w:rFonts w:cs="Times New Roman"/>
          <w:b/>
          <w:szCs w:val="28"/>
        </w:rPr>
        <w:lastRenderedPageBreak/>
        <w:t>экспортных цен и индекс импортных цен</w:t>
      </w:r>
      <w:r w:rsidRPr="00404840">
        <w:rPr>
          <w:rFonts w:cs="Times New Roman"/>
          <w:szCs w:val="28"/>
        </w:rPr>
        <w:t>. Совокупность данных индексов дает комплексную оценку инфляции в стране.</w:t>
      </w:r>
    </w:p>
    <w:p w:rsidR="00206389" w:rsidRPr="00404840" w:rsidRDefault="00206389" w:rsidP="00206389">
      <w:pPr>
        <w:autoSpaceDE w:val="0"/>
        <w:autoSpaceDN w:val="0"/>
        <w:adjustRightInd w:val="0"/>
        <w:spacing w:after="0" w:line="240" w:lineRule="auto"/>
        <w:ind w:firstLine="709"/>
        <w:jc w:val="both"/>
        <w:rPr>
          <w:rFonts w:cs="Times New Roman"/>
          <w:szCs w:val="28"/>
        </w:rPr>
      </w:pPr>
      <w:r w:rsidRPr="00404840">
        <w:rPr>
          <w:rFonts w:cs="Times New Roman"/>
          <w:b/>
          <w:szCs w:val="28"/>
        </w:rPr>
        <w:t>Индекс экспортных цен</w:t>
      </w:r>
      <w:r w:rsidRPr="00404840">
        <w:rPr>
          <w:rFonts w:cs="Times New Roman"/>
          <w:szCs w:val="28"/>
        </w:rPr>
        <w:t xml:space="preserve"> учитывает все виды транспортабельных товаров и услуг, приобретенных нерезидентами у резидентов. Включаются товары, экспортированные без передачи прав собственности в целях существенной переработки нерезидентами и последующего реимпорта.</w:t>
      </w:r>
    </w:p>
    <w:p w:rsidR="00206389" w:rsidRPr="00404840" w:rsidRDefault="00206389" w:rsidP="00206389">
      <w:pPr>
        <w:autoSpaceDE w:val="0"/>
        <w:autoSpaceDN w:val="0"/>
        <w:adjustRightInd w:val="0"/>
        <w:spacing w:after="0" w:line="240" w:lineRule="auto"/>
        <w:ind w:firstLine="709"/>
        <w:jc w:val="both"/>
        <w:rPr>
          <w:rFonts w:cs="Times New Roman"/>
          <w:szCs w:val="28"/>
        </w:rPr>
      </w:pPr>
      <w:r w:rsidRPr="00404840">
        <w:rPr>
          <w:rFonts w:cs="Times New Roman"/>
          <w:b/>
          <w:szCs w:val="28"/>
        </w:rPr>
        <w:t>Индекс импортных цен</w:t>
      </w:r>
      <w:r w:rsidRPr="00404840">
        <w:rPr>
          <w:rFonts w:cs="Times New Roman"/>
          <w:szCs w:val="28"/>
        </w:rPr>
        <w:t xml:space="preserve"> также рассчитывается на основе совокупности транспортабельных товаров и услуг, приобретенных резидентами у нерезидентов. Включает также товары, импортированные без передачи прав собственности в целях их существенной переработки резидентами и последующего реэкспорта.</w:t>
      </w:r>
    </w:p>
    <w:p w:rsidR="00206389" w:rsidRPr="00404840" w:rsidRDefault="00206389" w:rsidP="00206389">
      <w:pPr>
        <w:autoSpaceDE w:val="0"/>
        <w:autoSpaceDN w:val="0"/>
        <w:adjustRightInd w:val="0"/>
        <w:spacing w:after="0" w:line="240" w:lineRule="auto"/>
        <w:ind w:firstLine="709"/>
        <w:jc w:val="both"/>
        <w:rPr>
          <w:rFonts w:cs="Times New Roman"/>
          <w:szCs w:val="28"/>
        </w:rPr>
      </w:pPr>
      <w:r w:rsidRPr="00404840">
        <w:rPr>
          <w:rFonts w:cs="Times New Roman"/>
          <w:b/>
          <w:szCs w:val="28"/>
        </w:rPr>
        <w:t>Индекс цен производителей (Producer Price Index)</w:t>
      </w:r>
      <w:r w:rsidRPr="00404840">
        <w:rPr>
          <w:rFonts w:cs="Times New Roman"/>
          <w:szCs w:val="28"/>
        </w:rPr>
        <w:t xml:space="preserve"> включает в расчет все виды производимых или перерабатываемых внутри страны товаров и услуг, которые оцениваются в рыночных ценах. ИЦП охватывает все стадии производства: сырье, промежуточные стадии, готовую продукцию, а также все сектора: промышленность, добычу, сельское хозяйство. Цены импортных товаров в него не входят, но оказывают влияние на него через цены импортируемого сырья и комплектующих. </w:t>
      </w:r>
    </w:p>
    <w:p w:rsidR="00206389" w:rsidRPr="00404840" w:rsidRDefault="00206389" w:rsidP="00206389">
      <w:pPr>
        <w:autoSpaceDE w:val="0"/>
        <w:autoSpaceDN w:val="0"/>
        <w:adjustRightInd w:val="0"/>
        <w:spacing w:after="0" w:line="240" w:lineRule="auto"/>
        <w:ind w:firstLine="709"/>
        <w:jc w:val="both"/>
        <w:rPr>
          <w:rFonts w:cs="Times New Roman"/>
          <w:szCs w:val="28"/>
        </w:rPr>
      </w:pPr>
      <w:r w:rsidRPr="00404840">
        <w:rPr>
          <w:rFonts w:cs="Times New Roman"/>
          <w:b/>
          <w:szCs w:val="28"/>
        </w:rPr>
        <w:t>Индекс расходов на проживание</w:t>
      </w:r>
      <w:r w:rsidRPr="00404840">
        <w:rPr>
          <w:rFonts w:cs="Times New Roman"/>
          <w:b/>
          <w:i/>
          <w:szCs w:val="28"/>
        </w:rPr>
        <w:t xml:space="preserve">(Cost-of-living Index, COLI) </w:t>
      </w:r>
      <w:r w:rsidRPr="00404840">
        <w:rPr>
          <w:rFonts w:cs="Times New Roman"/>
          <w:szCs w:val="28"/>
        </w:rPr>
        <w:t>учитывает баланс повышения доходов и роста расходов.</w:t>
      </w:r>
      <w:r w:rsidRPr="00404840">
        <w:rPr>
          <w:rFonts w:cs="Times New Roman"/>
          <w:szCs w:val="28"/>
        </w:rPr>
        <w:tab/>
        <w:t>Является относительным показателем цен на потребительские товары, включая продукты, рестораны, транспорт и коммунальные услуги. Индекс стоимости жизни не включает расходы на проживание, такие как аренда или залог.</w:t>
      </w:r>
    </w:p>
    <w:p w:rsidR="00206389" w:rsidRPr="00404840" w:rsidRDefault="00206389" w:rsidP="00206389">
      <w:pPr>
        <w:autoSpaceDE w:val="0"/>
        <w:autoSpaceDN w:val="0"/>
        <w:adjustRightInd w:val="0"/>
        <w:spacing w:after="0" w:line="240" w:lineRule="auto"/>
        <w:ind w:firstLine="709"/>
        <w:jc w:val="both"/>
        <w:rPr>
          <w:rFonts w:cs="Times New Roman"/>
          <w:szCs w:val="28"/>
        </w:rPr>
      </w:pPr>
      <w:r w:rsidRPr="00404840">
        <w:rPr>
          <w:rFonts w:cs="Times New Roman"/>
          <w:b/>
          <w:szCs w:val="28"/>
        </w:rPr>
        <w:t>Индекс цены активов</w:t>
      </w:r>
      <w:r w:rsidRPr="00404840">
        <w:rPr>
          <w:rFonts w:cs="Times New Roman"/>
          <w:szCs w:val="28"/>
        </w:rPr>
        <w:tab/>
        <w:t>акций, недвижимости, цены заёмного капитала и прочее. Обычно цены на активы растут быстрее цен потребительских товаров и стоимости денег.</w:t>
      </w:r>
    </w:p>
    <w:p w:rsidR="00206389" w:rsidRDefault="00206389" w:rsidP="00206389">
      <w:pPr>
        <w:autoSpaceDE w:val="0"/>
        <w:autoSpaceDN w:val="0"/>
        <w:adjustRightInd w:val="0"/>
        <w:spacing w:after="0" w:line="240" w:lineRule="auto"/>
        <w:ind w:firstLine="709"/>
        <w:jc w:val="both"/>
        <w:rPr>
          <w:rFonts w:cs="Times New Roman"/>
          <w:szCs w:val="28"/>
        </w:rPr>
      </w:pPr>
      <w:r w:rsidRPr="00404840">
        <w:rPr>
          <w:rFonts w:cs="Times New Roman"/>
          <w:b/>
          <w:szCs w:val="28"/>
        </w:rPr>
        <w:t>Индекс с исключением компонентов по экономическому смыслу</w:t>
      </w:r>
      <w:r w:rsidRPr="00404840">
        <w:rPr>
          <w:rFonts w:cs="Times New Roman"/>
          <w:szCs w:val="28"/>
        </w:rPr>
        <w:t xml:space="preserve"> представляет собой ИПЦ, очищенный от компонентов, динамика цен на которые носит административный, событийный или сезонный характер. Такой спектр индексов дает возможность анализировать динамику цен на потребительскую корзину без определенных групп товаров и услуг. Чаще всего исключаются крайне волатильные цены и тарифы, динамика которых, даже при низком весе в потребительской корзине, может оказывать значимое влияние на инфляцию. Также могут исключаться категории товаров и услуг, цены на которые формируются под воздействием специфичных факторов, нехарактерных для остальных компонентов потребительской корзины. Таким образом, эти индексы описывают динамику инфляции без "шума", создаваемого отдельными товарными группами.</w:t>
      </w:r>
    </w:p>
    <w:p w:rsidR="00206389" w:rsidRPr="009A2C0D" w:rsidRDefault="00206389" w:rsidP="00206389">
      <w:pPr>
        <w:autoSpaceDE w:val="0"/>
        <w:autoSpaceDN w:val="0"/>
        <w:adjustRightInd w:val="0"/>
        <w:spacing w:after="0" w:line="240" w:lineRule="auto"/>
        <w:ind w:firstLine="709"/>
        <w:jc w:val="both"/>
        <w:rPr>
          <w:rFonts w:cs="Times New Roman"/>
          <w:szCs w:val="28"/>
        </w:rPr>
      </w:pPr>
      <w:r>
        <w:rPr>
          <w:rFonts w:cs="Times New Roman"/>
          <w:szCs w:val="28"/>
        </w:rPr>
        <w:t xml:space="preserve">Во всех странах оценка инфляции в здравоохранении основана на традиционном методе расчета </w:t>
      </w:r>
      <w:r>
        <w:rPr>
          <w:rFonts w:cs="Times New Roman"/>
          <w:szCs w:val="28"/>
          <w:lang w:val="en-US"/>
        </w:rPr>
        <w:t>CPI</w:t>
      </w:r>
      <w:r>
        <w:rPr>
          <w:rFonts w:cs="Times New Roman"/>
          <w:szCs w:val="28"/>
        </w:rPr>
        <w:t>. Оценка и публикация данных осуществляется государственными статистическими службами.</w:t>
      </w:r>
    </w:p>
    <w:p w:rsidR="00206389" w:rsidRDefault="00206389" w:rsidP="00206389">
      <w:pPr>
        <w:autoSpaceDE w:val="0"/>
        <w:autoSpaceDN w:val="0"/>
        <w:adjustRightInd w:val="0"/>
        <w:spacing w:after="0" w:line="240" w:lineRule="auto"/>
        <w:ind w:firstLine="709"/>
        <w:jc w:val="both"/>
        <w:rPr>
          <w:rFonts w:cs="Times New Roman"/>
          <w:szCs w:val="28"/>
        </w:rPr>
      </w:pPr>
      <w:r w:rsidRPr="00DE7C55">
        <w:rPr>
          <w:rFonts w:cs="Times New Roman"/>
          <w:szCs w:val="28"/>
        </w:rPr>
        <w:t xml:space="preserve">В Японии оценкой медицинской инфляции занимается Статистическое бюро Министерства Внутренних дел и внутренних отношений Японии. </w:t>
      </w:r>
    </w:p>
    <w:p w:rsidR="00206389" w:rsidRDefault="00206389" w:rsidP="00206389">
      <w:pPr>
        <w:autoSpaceDE w:val="0"/>
        <w:autoSpaceDN w:val="0"/>
        <w:adjustRightInd w:val="0"/>
        <w:spacing w:after="0" w:line="240" w:lineRule="auto"/>
        <w:ind w:firstLine="709"/>
        <w:jc w:val="both"/>
        <w:rPr>
          <w:rFonts w:cs="Times New Roman"/>
          <w:szCs w:val="28"/>
        </w:rPr>
      </w:pPr>
      <w:r w:rsidRPr="00DE7C55">
        <w:rPr>
          <w:rFonts w:cs="Times New Roman"/>
          <w:szCs w:val="28"/>
        </w:rPr>
        <w:lastRenderedPageBreak/>
        <w:t xml:space="preserve">В Великобритании оценку медицинской инфляции осуществляет  Офис национальной статистики. Уровень медицинской инфляции в 2016 году составил 5,9% </w:t>
      </w:r>
    </w:p>
    <w:p w:rsidR="00206389" w:rsidRDefault="00206389" w:rsidP="00206389">
      <w:pPr>
        <w:autoSpaceDE w:val="0"/>
        <w:autoSpaceDN w:val="0"/>
        <w:adjustRightInd w:val="0"/>
        <w:spacing w:after="0" w:line="240" w:lineRule="auto"/>
        <w:ind w:firstLine="709"/>
        <w:jc w:val="both"/>
        <w:rPr>
          <w:rFonts w:cs="Times New Roman"/>
          <w:szCs w:val="28"/>
        </w:rPr>
      </w:pPr>
      <w:r w:rsidRPr="00DE7C55">
        <w:rPr>
          <w:rFonts w:cs="Times New Roman"/>
          <w:szCs w:val="28"/>
        </w:rPr>
        <w:t xml:space="preserve">В </w:t>
      </w:r>
      <w:r w:rsidRPr="0005736E">
        <w:rPr>
          <w:rFonts w:cs="Times New Roman"/>
          <w:szCs w:val="28"/>
        </w:rPr>
        <w:t>Южной  Корее организация</w:t>
      </w:r>
      <w:r w:rsidRPr="00DE7C55">
        <w:rPr>
          <w:rFonts w:cs="Times New Roman"/>
          <w:szCs w:val="28"/>
        </w:rPr>
        <w:t xml:space="preserve"> “Statistics Korea” включает расходы на медицину в общий индекс потребительских цен. Уровень медицинской инфляции в 2016 году составил 7,6% </w:t>
      </w:r>
    </w:p>
    <w:p w:rsidR="00206389" w:rsidRDefault="00206389" w:rsidP="00206389">
      <w:pPr>
        <w:autoSpaceDE w:val="0"/>
        <w:autoSpaceDN w:val="0"/>
        <w:adjustRightInd w:val="0"/>
        <w:spacing w:after="0" w:line="240" w:lineRule="auto"/>
        <w:ind w:firstLine="709"/>
        <w:jc w:val="both"/>
        <w:rPr>
          <w:rFonts w:cs="Times New Roman"/>
          <w:szCs w:val="28"/>
        </w:rPr>
      </w:pPr>
      <w:r w:rsidRPr="00DE7C55">
        <w:rPr>
          <w:rFonts w:cs="Times New Roman"/>
          <w:szCs w:val="28"/>
        </w:rPr>
        <w:t>В странах Европейского Союза, оценка медицинского ИПЦ на союзном уровне проводится  Европейским центральным банком. Здесь медицинская инфляция представляется как часть Гармонизированного индекса потребительских цен (</w:t>
      </w:r>
      <w:hyperlink r:id="rId15">
        <w:r w:rsidRPr="00DE7C55">
          <w:rPr>
            <w:rStyle w:val="a5"/>
            <w:rFonts w:cs="Times New Roman"/>
          </w:rPr>
          <w:t>Harmonized Index of Consumer Prices</w:t>
        </w:r>
      </w:hyperlink>
      <w:r w:rsidRPr="00DE7C55">
        <w:rPr>
          <w:rFonts w:cs="Times New Roman"/>
          <w:szCs w:val="28"/>
        </w:rPr>
        <w:t>)  Средний уровень медицинской инфляции в Европе 2016 году составил 7,1%</w:t>
      </w:r>
      <w:r>
        <w:rPr>
          <w:rFonts w:cs="Times New Roman"/>
          <w:szCs w:val="28"/>
        </w:rPr>
        <w:t>.</w:t>
      </w:r>
    </w:p>
    <w:p w:rsidR="00206389" w:rsidRDefault="00206389" w:rsidP="00206389">
      <w:pPr>
        <w:autoSpaceDE w:val="0"/>
        <w:autoSpaceDN w:val="0"/>
        <w:adjustRightInd w:val="0"/>
        <w:spacing w:after="0" w:line="240" w:lineRule="auto"/>
        <w:ind w:firstLine="709"/>
        <w:jc w:val="both"/>
        <w:rPr>
          <w:rFonts w:cs="Times New Roman"/>
          <w:szCs w:val="28"/>
        </w:rPr>
      </w:pPr>
      <w:r w:rsidRPr="00DE7C55">
        <w:rPr>
          <w:rFonts w:cs="Times New Roman"/>
          <w:szCs w:val="28"/>
        </w:rPr>
        <w:t>В Малайзии, как и в других государствах Юго - Восточной Азии, оценка медицинской инфляции лежит на  Департамент статистики Малайзии.  Уровень медицинской инфляции в 2016 году составил 11,5%</w:t>
      </w:r>
      <w:r>
        <w:rPr>
          <w:rFonts w:cs="Times New Roman"/>
          <w:szCs w:val="28"/>
        </w:rPr>
        <w:t>.</w:t>
      </w:r>
    </w:p>
    <w:p w:rsidR="00206389" w:rsidRDefault="00206389" w:rsidP="00206389">
      <w:pPr>
        <w:autoSpaceDE w:val="0"/>
        <w:autoSpaceDN w:val="0"/>
        <w:adjustRightInd w:val="0"/>
        <w:spacing w:after="0" w:line="240" w:lineRule="auto"/>
        <w:ind w:firstLine="709"/>
        <w:jc w:val="both"/>
        <w:rPr>
          <w:rFonts w:cs="Times New Roman"/>
          <w:szCs w:val="28"/>
        </w:rPr>
      </w:pPr>
    </w:p>
    <w:p w:rsidR="00206389" w:rsidRDefault="00206389" w:rsidP="00206389">
      <w:pPr>
        <w:autoSpaceDE w:val="0"/>
        <w:autoSpaceDN w:val="0"/>
        <w:adjustRightInd w:val="0"/>
        <w:spacing w:after="0" w:line="240" w:lineRule="auto"/>
        <w:ind w:firstLine="709"/>
        <w:jc w:val="both"/>
        <w:rPr>
          <w:rFonts w:cs="Times New Roman"/>
          <w:szCs w:val="28"/>
        </w:rPr>
      </w:pPr>
    </w:p>
    <w:p w:rsidR="00206389" w:rsidRPr="00492CFB" w:rsidRDefault="00206389" w:rsidP="00206389">
      <w:pPr>
        <w:autoSpaceDE w:val="0"/>
        <w:autoSpaceDN w:val="0"/>
        <w:adjustRightInd w:val="0"/>
        <w:spacing w:after="0" w:line="240" w:lineRule="auto"/>
        <w:ind w:firstLine="709"/>
        <w:jc w:val="both"/>
        <w:rPr>
          <w:rFonts w:cs="Times New Roman"/>
          <w:szCs w:val="28"/>
        </w:rPr>
      </w:pPr>
      <w:r w:rsidRPr="00DE7C55">
        <w:rPr>
          <w:rFonts w:cs="Times New Roman"/>
          <w:noProof/>
          <w:szCs w:val="28"/>
          <w:lang w:eastAsia="ru-RU"/>
        </w:rPr>
        <w:drawing>
          <wp:inline distT="0" distB="0" distL="0" distR="0">
            <wp:extent cx="5934075" cy="2276475"/>
            <wp:effectExtent l="0" t="0" r="9525" b="9525"/>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34075" cy="2276475"/>
                    </a:xfrm>
                    <a:prstGeom prst="rect">
                      <a:avLst/>
                    </a:prstGeom>
                    <a:noFill/>
                    <a:ln>
                      <a:noFill/>
                    </a:ln>
                  </pic:spPr>
                </pic:pic>
              </a:graphicData>
            </a:graphic>
          </wp:inline>
        </w:drawing>
      </w:r>
    </w:p>
    <w:p w:rsidR="00206389" w:rsidRPr="00FD449E" w:rsidRDefault="001C7C02" w:rsidP="00226313">
      <w:pPr>
        <w:pStyle w:val="af1"/>
        <w:ind w:firstLine="709"/>
        <w:rPr>
          <w:rFonts w:cs="Times New Roman"/>
          <w:b w:val="0"/>
          <w:color w:val="auto"/>
          <w:sz w:val="28"/>
          <w:szCs w:val="28"/>
        </w:rPr>
      </w:pPr>
      <w:r w:rsidRPr="00FD449E">
        <w:rPr>
          <w:color w:val="auto"/>
          <w:sz w:val="28"/>
          <w:szCs w:val="28"/>
        </w:rPr>
        <w:t xml:space="preserve">Рисунок </w:t>
      </w:r>
      <w:r w:rsidR="00CA443F" w:rsidRPr="00FD449E">
        <w:rPr>
          <w:color w:val="auto"/>
          <w:sz w:val="28"/>
          <w:szCs w:val="28"/>
        </w:rPr>
        <w:fldChar w:fldCharType="begin"/>
      </w:r>
      <w:r w:rsidRPr="00FD449E">
        <w:rPr>
          <w:color w:val="auto"/>
          <w:sz w:val="28"/>
          <w:szCs w:val="28"/>
        </w:rPr>
        <w:instrText xml:space="preserve"> SEQ Рисунок \* ARABIC </w:instrText>
      </w:r>
      <w:r w:rsidR="00CA443F" w:rsidRPr="00FD449E">
        <w:rPr>
          <w:color w:val="auto"/>
          <w:sz w:val="28"/>
          <w:szCs w:val="28"/>
        </w:rPr>
        <w:fldChar w:fldCharType="separate"/>
      </w:r>
      <w:r w:rsidR="00F50120">
        <w:rPr>
          <w:noProof/>
          <w:color w:val="auto"/>
          <w:sz w:val="28"/>
          <w:szCs w:val="28"/>
        </w:rPr>
        <w:t>1</w:t>
      </w:r>
      <w:r w:rsidR="00CA443F" w:rsidRPr="00FD449E">
        <w:rPr>
          <w:color w:val="auto"/>
          <w:sz w:val="28"/>
          <w:szCs w:val="28"/>
        </w:rPr>
        <w:fldChar w:fldCharType="end"/>
      </w:r>
      <w:r w:rsidR="00206389" w:rsidRPr="00FD449E">
        <w:rPr>
          <w:rFonts w:cs="Times New Roman"/>
          <w:color w:val="auto"/>
          <w:sz w:val="28"/>
          <w:szCs w:val="28"/>
        </w:rPr>
        <w:t>. Динамика изменения частных расходов на здоровье по индексу Мильмана.</w:t>
      </w:r>
    </w:p>
    <w:p w:rsidR="00206389" w:rsidRDefault="00206389" w:rsidP="00206389">
      <w:pPr>
        <w:autoSpaceDE w:val="0"/>
        <w:autoSpaceDN w:val="0"/>
        <w:adjustRightInd w:val="0"/>
        <w:spacing w:after="0" w:line="240" w:lineRule="auto"/>
        <w:ind w:firstLine="709"/>
        <w:jc w:val="both"/>
        <w:rPr>
          <w:rFonts w:cs="Times New Roman"/>
          <w:szCs w:val="28"/>
        </w:rPr>
      </w:pPr>
    </w:p>
    <w:p w:rsidR="00206389" w:rsidRPr="00492CFB" w:rsidRDefault="00206389" w:rsidP="00206389">
      <w:pPr>
        <w:autoSpaceDE w:val="0"/>
        <w:autoSpaceDN w:val="0"/>
        <w:adjustRightInd w:val="0"/>
        <w:spacing w:after="0" w:line="240" w:lineRule="auto"/>
        <w:ind w:firstLine="709"/>
        <w:jc w:val="both"/>
        <w:rPr>
          <w:rFonts w:cs="Times New Roman"/>
          <w:szCs w:val="28"/>
        </w:rPr>
      </w:pPr>
      <w:r w:rsidRPr="00DE7C55">
        <w:rPr>
          <w:rFonts w:cs="Times New Roman"/>
          <w:szCs w:val="28"/>
        </w:rPr>
        <w:t>Особого внимания заслуживают негосударственные индексы</w:t>
      </w:r>
      <w:r w:rsidRPr="00DE7C55">
        <w:rPr>
          <w:rFonts w:cs="Times New Roman"/>
          <w:szCs w:val="28"/>
          <w:lang w:val="kk-KZ"/>
        </w:rPr>
        <w:t>. Одним из них является</w:t>
      </w:r>
      <w:r w:rsidRPr="00DE7C55">
        <w:rPr>
          <w:rFonts w:cs="Times New Roman"/>
          <w:szCs w:val="28"/>
        </w:rPr>
        <w:t xml:space="preserve"> Индекс Мильмана</w:t>
      </w:r>
      <w:r w:rsidR="00226313">
        <w:rPr>
          <w:rFonts w:cs="Times New Roman"/>
          <w:szCs w:val="28"/>
        </w:rPr>
        <w:t xml:space="preserve"> (рисунок 1)</w:t>
      </w:r>
      <w:r w:rsidRPr="00DE7C55">
        <w:rPr>
          <w:rFonts w:cs="Times New Roman"/>
          <w:i/>
          <w:szCs w:val="28"/>
        </w:rPr>
        <w:t xml:space="preserve">. </w:t>
      </w:r>
      <w:r w:rsidRPr="00DE7C55">
        <w:rPr>
          <w:rFonts w:cs="Times New Roman"/>
          <w:szCs w:val="28"/>
        </w:rPr>
        <w:t xml:space="preserve">Медицинский Индекс Мильмана представляет собой частный, альтернативный индикатор стоимости медицинских расходов среднестатистической американской семьи, состоящей из четырех человек. Так, согласно отчету за 2017 год, расходы семьи из четырех человек </w:t>
      </w:r>
      <w:r>
        <w:rPr>
          <w:rFonts w:cs="Times New Roman"/>
          <w:szCs w:val="28"/>
        </w:rPr>
        <w:t>составили</w:t>
      </w:r>
      <w:r w:rsidRPr="00DE7C55">
        <w:rPr>
          <w:rFonts w:cs="Times New Roman"/>
          <w:szCs w:val="28"/>
        </w:rPr>
        <w:t xml:space="preserve"> 26 944 долл. США. В отличие от традиционных индексов, для составления данного рейтинга берутся в расчет стоимость страховых взносов, что увеличивает расходы на медицину. Также рост возможен за счет роста заболеваемости. </w:t>
      </w:r>
    </w:p>
    <w:p w:rsidR="00206389" w:rsidRDefault="00206389" w:rsidP="00206389">
      <w:pPr>
        <w:autoSpaceDE w:val="0"/>
        <w:autoSpaceDN w:val="0"/>
        <w:adjustRightInd w:val="0"/>
        <w:spacing w:after="0" w:line="240" w:lineRule="auto"/>
        <w:ind w:firstLine="709"/>
        <w:jc w:val="both"/>
        <w:rPr>
          <w:rFonts w:cs="Times New Roman"/>
          <w:szCs w:val="28"/>
        </w:rPr>
      </w:pPr>
    </w:p>
    <w:p w:rsidR="00206389" w:rsidRDefault="00206389" w:rsidP="00206389">
      <w:pPr>
        <w:autoSpaceDE w:val="0"/>
        <w:autoSpaceDN w:val="0"/>
        <w:adjustRightInd w:val="0"/>
        <w:spacing w:after="0" w:line="240" w:lineRule="auto"/>
        <w:ind w:firstLine="709"/>
        <w:jc w:val="both"/>
        <w:rPr>
          <w:rFonts w:cs="Times New Roman"/>
          <w:szCs w:val="28"/>
        </w:rPr>
      </w:pPr>
    </w:p>
    <w:p w:rsidR="00206389" w:rsidRPr="0081217B" w:rsidRDefault="00206389" w:rsidP="00206389">
      <w:pPr>
        <w:autoSpaceDE w:val="0"/>
        <w:autoSpaceDN w:val="0"/>
        <w:adjustRightInd w:val="0"/>
        <w:spacing w:after="0" w:line="240" w:lineRule="auto"/>
        <w:ind w:firstLine="709"/>
        <w:jc w:val="both"/>
        <w:rPr>
          <w:rFonts w:cs="Times New Roman"/>
          <w:b/>
          <w:szCs w:val="28"/>
        </w:rPr>
      </w:pPr>
      <w:r>
        <w:rPr>
          <w:rFonts w:cs="Times New Roman"/>
          <w:b/>
          <w:szCs w:val="28"/>
        </w:rPr>
        <w:t>1.</w:t>
      </w:r>
      <w:r w:rsidRPr="0081217B">
        <w:rPr>
          <w:rFonts w:cs="Times New Roman"/>
          <w:b/>
          <w:szCs w:val="28"/>
        </w:rPr>
        <w:t>3.</w:t>
      </w:r>
      <w:r w:rsidRPr="0081217B">
        <w:rPr>
          <w:rFonts w:cs="Times New Roman"/>
          <w:b/>
          <w:szCs w:val="28"/>
        </w:rPr>
        <w:tab/>
        <w:t>Сравнительный анализ применения индикаторов CPI и PCE для учета инфляции.</w:t>
      </w:r>
    </w:p>
    <w:p w:rsidR="00206389" w:rsidRDefault="00206389" w:rsidP="00206389">
      <w:pPr>
        <w:autoSpaceDE w:val="0"/>
        <w:autoSpaceDN w:val="0"/>
        <w:adjustRightInd w:val="0"/>
        <w:spacing w:after="0" w:line="240" w:lineRule="auto"/>
        <w:ind w:firstLine="709"/>
        <w:jc w:val="both"/>
        <w:rPr>
          <w:rFonts w:cs="Times New Roman"/>
          <w:szCs w:val="28"/>
        </w:rPr>
      </w:pPr>
    </w:p>
    <w:p w:rsidR="00206389" w:rsidRDefault="00206389" w:rsidP="00206389">
      <w:pPr>
        <w:autoSpaceDE w:val="0"/>
        <w:autoSpaceDN w:val="0"/>
        <w:adjustRightInd w:val="0"/>
        <w:spacing w:after="0" w:line="240" w:lineRule="auto"/>
        <w:ind w:firstLine="709"/>
        <w:jc w:val="both"/>
        <w:rPr>
          <w:rFonts w:cs="Times New Roman"/>
          <w:szCs w:val="28"/>
        </w:rPr>
      </w:pPr>
      <w:r>
        <w:rPr>
          <w:rFonts w:cs="Times New Roman"/>
          <w:szCs w:val="28"/>
        </w:rPr>
        <w:t>В США существуют два основных способа измерения динамики общего уровня цен, уплачиваемых потребителями за товары и услуги. Одним из них является ИПЦ (</w:t>
      </w:r>
      <w:r>
        <w:rPr>
          <w:rFonts w:cs="Times New Roman"/>
          <w:szCs w:val="28"/>
          <w:lang w:val="en-US"/>
        </w:rPr>
        <w:t>CPI</w:t>
      </w:r>
      <w:r>
        <w:rPr>
          <w:rFonts w:cs="Times New Roman"/>
          <w:szCs w:val="28"/>
        </w:rPr>
        <w:t>), рассчитываемый на основании данных о расходах потребителей, проживающих в городах и публикуемый Бюро статистики труда (</w:t>
      </w:r>
      <w:r w:rsidRPr="00671520">
        <w:rPr>
          <w:rFonts w:cs="Times New Roman"/>
          <w:i/>
          <w:szCs w:val="28"/>
        </w:rPr>
        <w:t xml:space="preserve">Bureau of Labor Statistics – </w:t>
      </w:r>
      <w:r w:rsidRPr="00671520">
        <w:rPr>
          <w:rFonts w:cs="Times New Roman"/>
          <w:i/>
          <w:szCs w:val="28"/>
          <w:lang w:val="en-US"/>
        </w:rPr>
        <w:t>BLS</w:t>
      </w:r>
      <w:r w:rsidRPr="009C0B8E">
        <w:rPr>
          <w:rFonts w:cs="Times New Roman"/>
          <w:szCs w:val="28"/>
        </w:rPr>
        <w:t>)</w:t>
      </w:r>
      <w:r>
        <w:rPr>
          <w:rFonts w:cs="Times New Roman"/>
          <w:szCs w:val="28"/>
        </w:rPr>
        <w:t>, и другой – индекс расходов на личное потребление (</w:t>
      </w:r>
      <w:r w:rsidRPr="008645F9">
        <w:rPr>
          <w:rFonts w:cs="Times New Roman"/>
          <w:i/>
          <w:szCs w:val="28"/>
          <w:lang w:val="en-US"/>
        </w:rPr>
        <w:t>P</w:t>
      </w:r>
      <w:r w:rsidRPr="008645F9">
        <w:rPr>
          <w:rFonts w:cs="Times New Roman"/>
          <w:i/>
          <w:szCs w:val="28"/>
        </w:rPr>
        <w:t xml:space="preserve">ersonal </w:t>
      </w:r>
      <w:r w:rsidRPr="008645F9">
        <w:rPr>
          <w:rFonts w:cs="Times New Roman"/>
          <w:i/>
          <w:szCs w:val="28"/>
          <w:lang w:val="en-US"/>
        </w:rPr>
        <w:t>C</w:t>
      </w:r>
      <w:r w:rsidRPr="008645F9">
        <w:rPr>
          <w:rFonts w:cs="Times New Roman"/>
          <w:i/>
          <w:szCs w:val="28"/>
        </w:rPr>
        <w:t xml:space="preserve">onsumption Expenditures – </w:t>
      </w:r>
      <w:r w:rsidRPr="008645F9">
        <w:rPr>
          <w:rFonts w:cs="Times New Roman"/>
          <w:i/>
          <w:szCs w:val="28"/>
          <w:lang w:val="en-US"/>
        </w:rPr>
        <w:t>PCE</w:t>
      </w:r>
      <w:r w:rsidRPr="00770CAD">
        <w:rPr>
          <w:rFonts w:cs="Times New Roman"/>
          <w:szCs w:val="28"/>
        </w:rPr>
        <w:t>)</w:t>
      </w:r>
      <w:r>
        <w:rPr>
          <w:rFonts w:cs="Times New Roman"/>
          <w:szCs w:val="28"/>
        </w:rPr>
        <w:t>, формируемый Бюро экономического анализа (</w:t>
      </w:r>
      <w:r w:rsidRPr="001274CA">
        <w:rPr>
          <w:rFonts w:cs="Times New Roman"/>
          <w:i/>
          <w:szCs w:val="28"/>
        </w:rPr>
        <w:t xml:space="preserve">Bureau of Economic Analysis – </w:t>
      </w:r>
      <w:r w:rsidRPr="001274CA">
        <w:rPr>
          <w:rFonts w:cs="Times New Roman"/>
          <w:i/>
          <w:szCs w:val="28"/>
          <w:lang w:val="en-US"/>
        </w:rPr>
        <w:t>BEA</w:t>
      </w:r>
      <w:r w:rsidRPr="001274CA">
        <w:rPr>
          <w:rFonts w:cs="Times New Roman"/>
          <w:szCs w:val="28"/>
        </w:rPr>
        <w:t>)</w:t>
      </w:r>
      <w:r>
        <w:rPr>
          <w:rFonts w:cs="Times New Roman"/>
          <w:szCs w:val="28"/>
        </w:rPr>
        <w:t xml:space="preserve">. </w:t>
      </w:r>
    </w:p>
    <w:p w:rsidR="00206389" w:rsidRDefault="00206389" w:rsidP="00206389">
      <w:pPr>
        <w:autoSpaceDE w:val="0"/>
        <w:autoSpaceDN w:val="0"/>
        <w:adjustRightInd w:val="0"/>
        <w:spacing w:after="0" w:line="240" w:lineRule="auto"/>
        <w:ind w:firstLine="709"/>
        <w:jc w:val="both"/>
        <w:rPr>
          <w:rFonts w:cs="Times New Roman"/>
          <w:szCs w:val="28"/>
        </w:rPr>
      </w:pPr>
      <w:r>
        <w:rPr>
          <w:rFonts w:cs="Times New Roman"/>
          <w:szCs w:val="28"/>
        </w:rPr>
        <w:t xml:space="preserve">В последние годы возрастает интерес к объяснению различий между </w:t>
      </w:r>
      <w:r w:rsidRPr="00412E18">
        <w:rPr>
          <w:rFonts w:cs="Times New Roman"/>
          <w:szCs w:val="28"/>
        </w:rPr>
        <w:t>CPI и PCE</w:t>
      </w:r>
      <w:r>
        <w:rPr>
          <w:rFonts w:cs="Times New Roman"/>
          <w:szCs w:val="28"/>
        </w:rPr>
        <w:t xml:space="preserve"> в виду важной роли, которую играют данные индексы при реализации экономической политики. Концептуально, различия в значимости данных индексов можно разделить на ряд эффектов – факторов, образующих специфику индекса, таких как «эффект расчета», «эффект весов значимости», «эффект масштаба» и группа иных эффектов.</w:t>
      </w:r>
    </w:p>
    <w:p w:rsidR="00206389" w:rsidRDefault="00206389" w:rsidP="00206389">
      <w:pPr>
        <w:autoSpaceDE w:val="0"/>
        <w:autoSpaceDN w:val="0"/>
        <w:adjustRightInd w:val="0"/>
        <w:spacing w:after="0" w:line="240" w:lineRule="auto"/>
        <w:ind w:firstLine="709"/>
        <w:jc w:val="both"/>
        <w:rPr>
          <w:rFonts w:cs="Times New Roman"/>
          <w:szCs w:val="28"/>
        </w:rPr>
      </w:pPr>
      <w:r w:rsidRPr="00946436">
        <w:rPr>
          <w:rFonts w:cs="Times New Roman"/>
          <w:i/>
          <w:szCs w:val="28"/>
        </w:rPr>
        <w:t>«Эффект расчета»</w:t>
      </w:r>
      <w:r>
        <w:rPr>
          <w:rFonts w:cs="Times New Roman"/>
          <w:szCs w:val="28"/>
        </w:rPr>
        <w:t xml:space="preserve"> представляет собой различия в методиках расчета индексов цен и используемых для этого формулах. Расчет </w:t>
      </w:r>
      <w:r>
        <w:rPr>
          <w:rFonts w:cs="Times New Roman"/>
          <w:szCs w:val="28"/>
          <w:lang w:val="en-US"/>
        </w:rPr>
        <w:t>CPI</w:t>
      </w:r>
      <w:r>
        <w:rPr>
          <w:rFonts w:cs="Times New Roman"/>
          <w:szCs w:val="28"/>
        </w:rPr>
        <w:t xml:space="preserve">, как упоминалось выше, основан на модифицированной формуле Ласпейреса, тогда как индекс </w:t>
      </w:r>
      <w:r>
        <w:rPr>
          <w:rFonts w:cs="Times New Roman"/>
          <w:szCs w:val="28"/>
          <w:lang w:val="en-US"/>
        </w:rPr>
        <w:t>PCE</w:t>
      </w:r>
      <w:r w:rsidR="009D7F97">
        <w:rPr>
          <w:rFonts w:cs="Times New Roman"/>
          <w:szCs w:val="28"/>
        </w:rPr>
        <w:t xml:space="preserve"> </w:t>
      </w:r>
      <w:r>
        <w:rPr>
          <w:rFonts w:cs="Times New Roman"/>
          <w:szCs w:val="28"/>
        </w:rPr>
        <w:t>основан на расчете «идеального» индекса Фишера.</w:t>
      </w:r>
    </w:p>
    <w:p w:rsidR="00206389" w:rsidRDefault="00206389" w:rsidP="00206389">
      <w:pPr>
        <w:autoSpaceDE w:val="0"/>
        <w:autoSpaceDN w:val="0"/>
        <w:adjustRightInd w:val="0"/>
        <w:spacing w:after="0" w:line="240" w:lineRule="auto"/>
        <w:ind w:firstLine="709"/>
        <w:jc w:val="both"/>
        <w:rPr>
          <w:rFonts w:cs="Times New Roman"/>
          <w:szCs w:val="28"/>
        </w:rPr>
      </w:pPr>
      <w:r>
        <w:rPr>
          <w:rFonts w:cs="Times New Roman"/>
          <w:szCs w:val="28"/>
        </w:rPr>
        <w:t>Фундаментальное различие между индексом цен Ласпейреса, с фиксированным объемом товаров и услуг, и ценовым индексом Фишера заключается в учете последним «эффекта замещения». Индекс Фишера в гораздо большей степени отражает эффект замены товаров в потребительском наборе, цены на которые растут быстрее, теми видами товаров и услуг, цены на которые растут медленнее.</w:t>
      </w:r>
    </w:p>
    <w:p w:rsidR="00206389" w:rsidRDefault="00206389" w:rsidP="00206389">
      <w:pPr>
        <w:autoSpaceDE w:val="0"/>
        <w:autoSpaceDN w:val="0"/>
        <w:adjustRightInd w:val="0"/>
        <w:spacing w:after="0" w:line="240" w:lineRule="auto"/>
        <w:ind w:firstLine="709"/>
        <w:jc w:val="both"/>
        <w:rPr>
          <w:rFonts w:cs="Times New Roman"/>
          <w:szCs w:val="28"/>
        </w:rPr>
      </w:pPr>
      <w:r w:rsidRPr="00946436">
        <w:rPr>
          <w:rFonts w:cs="Times New Roman"/>
          <w:i/>
          <w:szCs w:val="28"/>
        </w:rPr>
        <w:t xml:space="preserve">«Эффект весов значимости» </w:t>
      </w:r>
      <w:r>
        <w:rPr>
          <w:rFonts w:cs="Times New Roman"/>
          <w:szCs w:val="28"/>
        </w:rPr>
        <w:t xml:space="preserve">заключается в существенных различиях относительных весов, присваиваемых сопоставимым ценам товаров в составе ценовых индексов  </w:t>
      </w:r>
      <w:r w:rsidRPr="0096534B">
        <w:rPr>
          <w:rFonts w:cs="Times New Roman"/>
          <w:szCs w:val="28"/>
        </w:rPr>
        <w:t>CPI и PCE</w:t>
      </w:r>
      <w:r>
        <w:rPr>
          <w:rFonts w:cs="Times New Roman"/>
          <w:szCs w:val="28"/>
        </w:rPr>
        <w:t xml:space="preserve">. </w:t>
      </w:r>
    </w:p>
    <w:p w:rsidR="00206389" w:rsidRDefault="00206389" w:rsidP="00206389">
      <w:pPr>
        <w:autoSpaceDE w:val="0"/>
        <w:autoSpaceDN w:val="0"/>
        <w:adjustRightInd w:val="0"/>
        <w:spacing w:after="0" w:line="240" w:lineRule="auto"/>
        <w:ind w:firstLine="709"/>
        <w:jc w:val="both"/>
        <w:rPr>
          <w:rFonts w:cs="Times New Roman"/>
          <w:szCs w:val="28"/>
        </w:rPr>
      </w:pPr>
      <w:r>
        <w:rPr>
          <w:rFonts w:cs="Times New Roman"/>
          <w:szCs w:val="28"/>
        </w:rPr>
        <w:t xml:space="preserve">Относительные веса, используемые в </w:t>
      </w:r>
      <w:r w:rsidRPr="0096534B">
        <w:rPr>
          <w:rFonts w:cs="Times New Roman"/>
          <w:szCs w:val="28"/>
        </w:rPr>
        <w:t>CPI</w:t>
      </w:r>
      <w:r>
        <w:rPr>
          <w:rFonts w:cs="Times New Roman"/>
          <w:szCs w:val="28"/>
        </w:rPr>
        <w:t xml:space="preserve"> основаны на обзоре потребительских расходов и обследовании домохозяйств, в то время как относительные веса в составе индекса </w:t>
      </w:r>
      <w:r w:rsidRPr="0096534B">
        <w:rPr>
          <w:rFonts w:cs="Times New Roman"/>
          <w:szCs w:val="28"/>
        </w:rPr>
        <w:t>PCE</w:t>
      </w:r>
      <w:r>
        <w:rPr>
          <w:rFonts w:cs="Times New Roman"/>
          <w:szCs w:val="28"/>
        </w:rPr>
        <w:t xml:space="preserve"> основаны на опросах производителей, а также на ежемесячных обзорах розничной торговли.</w:t>
      </w:r>
    </w:p>
    <w:p w:rsidR="00206389" w:rsidRPr="005D1BA5" w:rsidRDefault="00206389" w:rsidP="00206389">
      <w:pPr>
        <w:autoSpaceDE w:val="0"/>
        <w:autoSpaceDN w:val="0"/>
        <w:adjustRightInd w:val="0"/>
        <w:spacing w:after="0" w:line="240" w:lineRule="auto"/>
        <w:ind w:firstLine="709"/>
        <w:jc w:val="both"/>
        <w:rPr>
          <w:rFonts w:cs="Times New Roman"/>
          <w:szCs w:val="28"/>
        </w:rPr>
      </w:pPr>
      <w:r w:rsidRPr="005D1BA5">
        <w:rPr>
          <w:rFonts w:cs="Times New Roman"/>
          <w:szCs w:val="28"/>
        </w:rPr>
        <w:t xml:space="preserve">Для оценки </w:t>
      </w:r>
      <w:r>
        <w:rPr>
          <w:rFonts w:cs="Times New Roman"/>
          <w:szCs w:val="28"/>
        </w:rPr>
        <w:t>эффекта весов значимости</w:t>
      </w:r>
      <w:r w:rsidRPr="005D1BA5">
        <w:rPr>
          <w:rFonts w:cs="Times New Roman"/>
          <w:szCs w:val="28"/>
        </w:rPr>
        <w:t xml:space="preserve"> рассчитываются различия в относительных весах между сопоставимыми элементам</w:t>
      </w:r>
      <w:r>
        <w:rPr>
          <w:rFonts w:cs="Times New Roman"/>
          <w:szCs w:val="28"/>
        </w:rPr>
        <w:t>и в индексе цен на фиксированное значение относительного веса цены данного вида товарав составе</w:t>
      </w:r>
      <w:r w:rsidRPr="0096534B">
        <w:rPr>
          <w:rFonts w:cs="Times New Roman"/>
          <w:szCs w:val="28"/>
        </w:rPr>
        <w:t>CPI и PCE</w:t>
      </w:r>
      <w:r w:rsidRPr="005D1BA5">
        <w:rPr>
          <w:rFonts w:cs="Times New Roman"/>
          <w:szCs w:val="28"/>
        </w:rPr>
        <w:t>. Эти разницы затем умножаются на темпы роста в соответствующих индексах цен на товары, чтобы получить процентные ставки; т. е. весовой эффект вычисляется как</w:t>
      </w:r>
    </w:p>
    <w:p w:rsidR="00206389" w:rsidRDefault="00206389" w:rsidP="00206389">
      <w:pPr>
        <w:autoSpaceDE w:val="0"/>
        <w:autoSpaceDN w:val="0"/>
        <w:adjustRightInd w:val="0"/>
        <w:spacing w:after="0" w:line="240" w:lineRule="auto"/>
        <w:ind w:firstLine="709"/>
        <w:jc w:val="center"/>
        <w:rPr>
          <w:rFonts w:cs="Times New Roman"/>
          <w:b/>
          <w:szCs w:val="28"/>
        </w:rPr>
      </w:pPr>
      <w:r>
        <w:rPr>
          <w:rFonts w:cs="Times New Roman"/>
          <w:b/>
          <w:noProof/>
          <w:szCs w:val="28"/>
          <w:lang w:eastAsia="ru-RU"/>
        </w:rPr>
        <w:drawing>
          <wp:inline distT="0" distB="0" distL="0" distR="0">
            <wp:extent cx="4414287" cy="563526"/>
            <wp:effectExtent l="0" t="0" r="5715" b="825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429005" cy="565405"/>
                    </a:xfrm>
                    <a:prstGeom prst="rect">
                      <a:avLst/>
                    </a:prstGeom>
                    <a:noFill/>
                    <a:ln>
                      <a:noFill/>
                    </a:ln>
                  </pic:spPr>
                </pic:pic>
              </a:graphicData>
            </a:graphic>
          </wp:inline>
        </w:drawing>
      </w:r>
      <w:r>
        <w:rPr>
          <w:rFonts w:cs="Times New Roman"/>
          <w:b/>
          <w:szCs w:val="28"/>
        </w:rPr>
        <w:t>,</w:t>
      </w:r>
    </w:p>
    <w:p w:rsidR="00206389" w:rsidRDefault="00206389" w:rsidP="00206389">
      <w:pPr>
        <w:autoSpaceDE w:val="0"/>
        <w:autoSpaceDN w:val="0"/>
        <w:adjustRightInd w:val="0"/>
        <w:spacing w:after="0" w:line="240" w:lineRule="auto"/>
        <w:ind w:firstLine="709"/>
        <w:jc w:val="both"/>
        <w:rPr>
          <w:rFonts w:cs="Times New Roman"/>
          <w:szCs w:val="28"/>
        </w:rPr>
      </w:pPr>
      <w:r w:rsidRPr="005D1BA5">
        <w:rPr>
          <w:rFonts w:cs="Times New Roman"/>
          <w:szCs w:val="28"/>
        </w:rPr>
        <w:t xml:space="preserve">где </w:t>
      </w:r>
      <w:r w:rsidRPr="008E1E8D">
        <w:rPr>
          <w:rFonts w:cs="Times New Roman"/>
          <w:i/>
          <w:szCs w:val="28"/>
        </w:rPr>
        <w:t>W</w:t>
      </w:r>
      <w:r w:rsidRPr="008E1E8D">
        <w:rPr>
          <w:rFonts w:cs="Times New Roman"/>
          <w:i/>
          <w:szCs w:val="28"/>
          <w:vertAlign w:val="superscript"/>
          <w:lang w:val="en-US"/>
        </w:rPr>
        <w:t>i</w:t>
      </w:r>
      <w:r w:rsidRPr="008E1E8D">
        <w:rPr>
          <w:rFonts w:cs="Times New Roman"/>
          <w:i/>
          <w:szCs w:val="28"/>
          <w:vertAlign w:val="subscript"/>
          <w:lang w:val="en-US"/>
        </w:rPr>
        <w:t>PCE</w:t>
      </w:r>
      <w:r w:rsidRPr="00084357">
        <w:rPr>
          <w:rFonts w:cs="Times New Roman"/>
          <w:szCs w:val="28"/>
        </w:rPr>
        <w:t xml:space="preserve">- </w:t>
      </w:r>
      <w:r w:rsidRPr="005D1BA5">
        <w:rPr>
          <w:rFonts w:cs="Times New Roman"/>
          <w:szCs w:val="28"/>
        </w:rPr>
        <w:t xml:space="preserve">средний относительный вес для </w:t>
      </w:r>
      <w:r>
        <w:rPr>
          <w:rFonts w:cs="Times New Roman"/>
          <w:szCs w:val="28"/>
        </w:rPr>
        <w:t>товара</w:t>
      </w:r>
      <w:r w:rsidRPr="005D1BA5">
        <w:rPr>
          <w:rFonts w:cs="Times New Roman"/>
          <w:szCs w:val="28"/>
        </w:rPr>
        <w:t xml:space="preserve"> i в</w:t>
      </w:r>
      <w:r>
        <w:rPr>
          <w:rFonts w:cs="Times New Roman"/>
          <w:szCs w:val="28"/>
        </w:rPr>
        <w:t xml:space="preserve"> составе фиксированного индекса цен </w:t>
      </w:r>
      <w:r w:rsidRPr="005D1BA5">
        <w:rPr>
          <w:rFonts w:cs="Times New Roman"/>
          <w:szCs w:val="28"/>
        </w:rPr>
        <w:t>PCE</w:t>
      </w:r>
      <w:r>
        <w:rPr>
          <w:rFonts w:cs="Times New Roman"/>
          <w:szCs w:val="28"/>
        </w:rPr>
        <w:t xml:space="preserve">; </w:t>
      </w:r>
    </w:p>
    <w:p w:rsidR="00206389" w:rsidRDefault="00206389" w:rsidP="00206389">
      <w:pPr>
        <w:autoSpaceDE w:val="0"/>
        <w:autoSpaceDN w:val="0"/>
        <w:adjustRightInd w:val="0"/>
        <w:spacing w:after="0" w:line="240" w:lineRule="auto"/>
        <w:ind w:firstLine="709"/>
        <w:jc w:val="both"/>
        <w:rPr>
          <w:rFonts w:cs="Times New Roman"/>
          <w:szCs w:val="28"/>
        </w:rPr>
      </w:pPr>
      <w:r w:rsidRPr="008E1E8D">
        <w:rPr>
          <w:rFonts w:cs="Times New Roman"/>
          <w:i/>
          <w:szCs w:val="28"/>
        </w:rPr>
        <w:t>W</w:t>
      </w:r>
      <w:r w:rsidRPr="008E1E8D">
        <w:rPr>
          <w:rFonts w:cs="Times New Roman"/>
          <w:i/>
          <w:szCs w:val="28"/>
          <w:vertAlign w:val="superscript"/>
          <w:lang w:val="en-US"/>
        </w:rPr>
        <w:t>i</w:t>
      </w:r>
      <w:r w:rsidRPr="008E1E8D">
        <w:rPr>
          <w:rFonts w:cs="Times New Roman"/>
          <w:i/>
          <w:szCs w:val="28"/>
          <w:vertAlign w:val="subscript"/>
          <w:lang w:val="en-US"/>
        </w:rPr>
        <w:t>CPI</w:t>
      </w:r>
      <w:r w:rsidRPr="00EB332A">
        <w:rPr>
          <w:rFonts w:cs="Times New Roman"/>
          <w:szCs w:val="28"/>
          <w:vertAlign w:val="subscript"/>
        </w:rPr>
        <w:t xml:space="preserve"> - </w:t>
      </w:r>
      <w:r w:rsidRPr="005D1BA5">
        <w:rPr>
          <w:rFonts w:cs="Times New Roman"/>
          <w:szCs w:val="28"/>
        </w:rPr>
        <w:t xml:space="preserve"> средний относительный вес для </w:t>
      </w:r>
      <w:r>
        <w:rPr>
          <w:rFonts w:cs="Times New Roman"/>
          <w:szCs w:val="28"/>
        </w:rPr>
        <w:t>товара</w:t>
      </w:r>
      <w:r w:rsidRPr="005D1BA5">
        <w:rPr>
          <w:rFonts w:cs="Times New Roman"/>
          <w:szCs w:val="28"/>
        </w:rPr>
        <w:t xml:space="preserve"> i в</w:t>
      </w:r>
      <w:r>
        <w:rPr>
          <w:rFonts w:cs="Times New Roman"/>
          <w:szCs w:val="28"/>
        </w:rPr>
        <w:t xml:space="preserve"> составе фиксированного индекса цен  CPI;</w:t>
      </w:r>
    </w:p>
    <w:p w:rsidR="00206389" w:rsidRDefault="00206389" w:rsidP="00206389">
      <w:pPr>
        <w:autoSpaceDE w:val="0"/>
        <w:autoSpaceDN w:val="0"/>
        <w:adjustRightInd w:val="0"/>
        <w:spacing w:after="0" w:line="240" w:lineRule="auto"/>
        <w:ind w:firstLine="709"/>
        <w:jc w:val="both"/>
        <w:rPr>
          <w:rFonts w:cs="Times New Roman"/>
          <w:szCs w:val="28"/>
        </w:rPr>
      </w:pPr>
      <w:r w:rsidRPr="008E1E8D">
        <w:rPr>
          <w:rFonts w:cs="Times New Roman"/>
          <w:i/>
          <w:szCs w:val="28"/>
        </w:rPr>
        <w:lastRenderedPageBreak/>
        <w:t>P</w:t>
      </w:r>
      <w:r w:rsidRPr="008E1E8D">
        <w:rPr>
          <w:rFonts w:cs="Times New Roman"/>
          <w:i/>
          <w:szCs w:val="28"/>
          <w:vertAlign w:val="superscript"/>
          <w:lang w:val="en-US"/>
        </w:rPr>
        <w:t>i</w:t>
      </w:r>
      <w:r w:rsidRPr="008E1E8D">
        <w:rPr>
          <w:rFonts w:cs="Times New Roman"/>
          <w:i/>
          <w:szCs w:val="28"/>
          <w:vertAlign w:val="subscript"/>
          <w:lang w:val="en-US"/>
        </w:rPr>
        <w:t>t</w:t>
      </w:r>
      <w:r w:rsidRPr="005D1BA5">
        <w:rPr>
          <w:rFonts w:cs="Times New Roman"/>
          <w:szCs w:val="28"/>
        </w:rPr>
        <w:t xml:space="preserve"> - это цена для </w:t>
      </w:r>
      <w:r>
        <w:rPr>
          <w:rFonts w:cs="Times New Roman"/>
          <w:szCs w:val="28"/>
        </w:rPr>
        <w:t xml:space="preserve">товара </w:t>
      </w:r>
      <w:r w:rsidRPr="005D1BA5">
        <w:rPr>
          <w:rFonts w:cs="Times New Roman"/>
          <w:szCs w:val="28"/>
        </w:rPr>
        <w:t xml:space="preserve"> i, </w:t>
      </w:r>
      <w:r>
        <w:rPr>
          <w:rFonts w:cs="Times New Roman"/>
          <w:szCs w:val="28"/>
        </w:rPr>
        <w:t xml:space="preserve">используемого в расчетах индексов цен CPI и PCE. </w:t>
      </w:r>
    </w:p>
    <w:p w:rsidR="00206389" w:rsidRDefault="00206389" w:rsidP="00206389">
      <w:pPr>
        <w:autoSpaceDE w:val="0"/>
        <w:autoSpaceDN w:val="0"/>
        <w:adjustRightInd w:val="0"/>
        <w:spacing w:after="0" w:line="240" w:lineRule="auto"/>
        <w:ind w:firstLine="709"/>
        <w:jc w:val="both"/>
        <w:rPr>
          <w:rFonts w:cs="Times New Roman"/>
          <w:szCs w:val="28"/>
        </w:rPr>
      </w:pPr>
      <w:r w:rsidRPr="005D1BA5">
        <w:rPr>
          <w:rFonts w:cs="Times New Roman"/>
          <w:szCs w:val="28"/>
        </w:rPr>
        <w:t xml:space="preserve">Важно отметить, что </w:t>
      </w:r>
      <w:r>
        <w:rPr>
          <w:rFonts w:cs="Times New Roman"/>
          <w:szCs w:val="28"/>
        </w:rPr>
        <w:t>различия в весах товаров</w:t>
      </w:r>
      <w:r w:rsidRPr="005D1BA5">
        <w:rPr>
          <w:rFonts w:cs="Times New Roman"/>
          <w:szCs w:val="28"/>
        </w:rPr>
        <w:t xml:space="preserve">, возникающие разных </w:t>
      </w:r>
      <w:r>
        <w:rPr>
          <w:rFonts w:cs="Times New Roman"/>
          <w:szCs w:val="28"/>
        </w:rPr>
        <w:t>периодах</w:t>
      </w:r>
      <w:r w:rsidRPr="005D1BA5">
        <w:rPr>
          <w:rFonts w:cs="Times New Roman"/>
          <w:szCs w:val="28"/>
        </w:rPr>
        <w:t>, не</w:t>
      </w:r>
      <w:r>
        <w:rPr>
          <w:rFonts w:cs="Times New Roman"/>
          <w:szCs w:val="28"/>
        </w:rPr>
        <w:t xml:space="preserve"> учитываются в «весовом эффекте» - </w:t>
      </w:r>
      <w:r w:rsidRPr="005D1BA5">
        <w:rPr>
          <w:rFonts w:cs="Times New Roman"/>
          <w:szCs w:val="28"/>
        </w:rPr>
        <w:t>эти различи</w:t>
      </w:r>
      <w:r>
        <w:rPr>
          <w:rFonts w:cs="Times New Roman"/>
          <w:szCs w:val="28"/>
        </w:rPr>
        <w:t>я учитываются в «эффекте расчета».</w:t>
      </w:r>
    </w:p>
    <w:p w:rsidR="00206389" w:rsidRPr="009D7F97" w:rsidRDefault="00206389" w:rsidP="00206389">
      <w:pPr>
        <w:autoSpaceDE w:val="0"/>
        <w:autoSpaceDN w:val="0"/>
        <w:adjustRightInd w:val="0"/>
        <w:spacing w:after="0" w:line="240" w:lineRule="auto"/>
        <w:ind w:firstLine="709"/>
        <w:jc w:val="both"/>
        <w:rPr>
          <w:rFonts w:cs="Times New Roman"/>
          <w:b/>
          <w:szCs w:val="28"/>
        </w:rPr>
      </w:pPr>
      <w:r w:rsidRPr="00217385">
        <w:rPr>
          <w:rFonts w:cs="Times New Roman"/>
          <w:szCs w:val="28"/>
        </w:rPr>
        <w:t xml:space="preserve">«Эффект масштаба» реализуется через охват групп населения, задействованных при расчетах указанных ценовых индексов. CPI измеряет наличные расходы всех городских домохозяйств, тогда как индекс цен PCE измеряет товары и услуги, приобретенные отдельными коммерческими и некоммерческими юридическими лицами. Таким образом, в CPI учитывается ряд позиций, не включенных в PCE, и наоборот,  PCE учитывает ряд статей расходов, которые не учитываются при расчете CPI. Например, </w:t>
      </w:r>
      <w:r w:rsidRPr="009D7F97">
        <w:rPr>
          <w:rFonts w:cs="Times New Roman"/>
          <w:b/>
          <w:szCs w:val="28"/>
        </w:rPr>
        <w:t>медицинские услуги в CPI состоят только из тех услуг и продуктов, непосредственно приобретаемых потребителями. В индексе цен PCE услуги по оказанию медицинской помощи включают в себя товары и услуги, непосредственно приобретенные потребителям, а также товары и услуги, оплачиваемые от имени потребителей. Сюда относятся услуги медицинского обслуживания, оплачиваемые работодателями, через медицинское страхование, предоставляемое работодателем, и медицинские услуги, оплачиваемые правительствами через государственные программы, такие как Medicare и Medicaid.</w:t>
      </w:r>
    </w:p>
    <w:p w:rsidR="00206389" w:rsidRDefault="00206389" w:rsidP="00206389">
      <w:pPr>
        <w:autoSpaceDE w:val="0"/>
        <w:autoSpaceDN w:val="0"/>
        <w:adjustRightInd w:val="0"/>
        <w:spacing w:after="0" w:line="240" w:lineRule="auto"/>
        <w:ind w:firstLine="709"/>
        <w:jc w:val="both"/>
        <w:rPr>
          <w:rFonts w:cs="Times New Roman"/>
          <w:szCs w:val="28"/>
        </w:rPr>
      </w:pPr>
      <w:r w:rsidRPr="00055FD0">
        <w:rPr>
          <w:rFonts w:cs="Times New Roman"/>
          <w:szCs w:val="28"/>
        </w:rPr>
        <w:t>Помимо вышеуказанных эффектов, имеет место ряд иных различий в методиках расчета и экономической интерпретации, таких как сезонные корректирующие разницы, ценовые различия и остаточные различия, которые BLS и BEA учитывают для полного согласования индексов CPI и PCE при расчетах.</w:t>
      </w:r>
    </w:p>
    <w:p w:rsidR="00206389" w:rsidRPr="00404840" w:rsidRDefault="00206389" w:rsidP="00206389">
      <w:pPr>
        <w:spacing w:after="0" w:line="240" w:lineRule="auto"/>
        <w:ind w:firstLine="709"/>
        <w:rPr>
          <w:rFonts w:cs="Times New Roman"/>
          <w:szCs w:val="28"/>
        </w:rPr>
      </w:pPr>
      <w:r>
        <w:rPr>
          <w:rFonts w:cs="Times New Roman"/>
          <w:szCs w:val="28"/>
        </w:rPr>
        <w:br w:type="page"/>
      </w:r>
    </w:p>
    <w:p w:rsidR="00206389" w:rsidRDefault="00206389" w:rsidP="00206389">
      <w:pPr>
        <w:spacing w:after="0" w:line="240" w:lineRule="auto"/>
        <w:ind w:firstLine="709"/>
        <w:jc w:val="both"/>
        <w:rPr>
          <w:rFonts w:cs="Times New Roman"/>
          <w:b/>
          <w:szCs w:val="28"/>
        </w:rPr>
      </w:pPr>
      <w:r w:rsidRPr="00EC7434">
        <w:rPr>
          <w:rFonts w:cs="Times New Roman"/>
          <w:b/>
          <w:szCs w:val="28"/>
        </w:rPr>
        <w:lastRenderedPageBreak/>
        <w:t>1.4</w:t>
      </w:r>
      <w:r w:rsidRPr="00EC7434">
        <w:rPr>
          <w:rFonts w:cs="Times New Roman"/>
          <w:b/>
          <w:szCs w:val="28"/>
        </w:rPr>
        <w:tab/>
        <w:t xml:space="preserve"> Опыт учета медицинской инфляции в США и пример практического применения PCE</w:t>
      </w:r>
    </w:p>
    <w:p w:rsidR="00995951" w:rsidRPr="00EC7434" w:rsidRDefault="00995951" w:rsidP="00206389">
      <w:pPr>
        <w:spacing w:after="0" w:line="240" w:lineRule="auto"/>
        <w:ind w:firstLine="709"/>
        <w:jc w:val="both"/>
        <w:rPr>
          <w:rFonts w:cs="Times New Roman"/>
          <w:b/>
          <w:szCs w:val="28"/>
        </w:rPr>
      </w:pPr>
    </w:p>
    <w:p w:rsidR="00206389" w:rsidRPr="00EC7434" w:rsidRDefault="00206389" w:rsidP="00206389">
      <w:pPr>
        <w:spacing w:after="0" w:line="240" w:lineRule="auto"/>
        <w:ind w:firstLine="709"/>
        <w:jc w:val="both"/>
        <w:rPr>
          <w:rFonts w:cs="Times New Roman"/>
          <w:szCs w:val="28"/>
        </w:rPr>
      </w:pPr>
      <w:r w:rsidRPr="00EC7434">
        <w:rPr>
          <w:rFonts w:cs="Times New Roman"/>
          <w:szCs w:val="28"/>
        </w:rPr>
        <w:t>Индекс потребительских цен рассчитывается в целях практики международного сопоставления уровня цен  практически во всех странах мира. Следовательно, в качестве анализа подходов к учету медицинской инфляции необходимо ориентироваться на опыт тех стран, где помимо традиционных методик расчета  (ИПЦ), используются альтернативные подходы к оценке инфляционных процессов.</w:t>
      </w:r>
    </w:p>
    <w:p w:rsidR="00206389" w:rsidRPr="00EC7434" w:rsidRDefault="00206389" w:rsidP="00206389">
      <w:pPr>
        <w:spacing w:after="0" w:line="240" w:lineRule="auto"/>
        <w:ind w:firstLine="709"/>
        <w:jc w:val="both"/>
        <w:rPr>
          <w:rFonts w:cs="Times New Roman"/>
          <w:szCs w:val="28"/>
        </w:rPr>
      </w:pPr>
      <w:r w:rsidRPr="00EC7434">
        <w:rPr>
          <w:rFonts w:cs="Times New Roman"/>
          <w:szCs w:val="28"/>
        </w:rPr>
        <w:t xml:space="preserve">На данный момент наиболее развитая с методологической точки зрения практика оценки медицинской инфляции наблюдается в США. </w:t>
      </w:r>
    </w:p>
    <w:p w:rsidR="00206389" w:rsidRPr="00EC7434" w:rsidRDefault="00206389" w:rsidP="00206389">
      <w:pPr>
        <w:spacing w:after="0" w:line="240" w:lineRule="auto"/>
        <w:ind w:firstLine="709"/>
        <w:jc w:val="both"/>
        <w:rPr>
          <w:rFonts w:cs="Times New Roman"/>
          <w:szCs w:val="28"/>
        </w:rPr>
      </w:pPr>
      <w:r w:rsidRPr="00EC7434">
        <w:rPr>
          <w:rFonts w:cs="Times New Roman"/>
          <w:szCs w:val="28"/>
        </w:rPr>
        <w:t xml:space="preserve">Альтернативный, экспериментальный метод основан на оценке роста стоимости лечения той или иной конкретной болезни (diseas-based). Здесь, учитывается нисколько стоимость единицы самих услуг или лекарств, их общая стоимость необходимая для лечения. То есть даже при удорожании средств, сам процесс лечения может оптимизироваться, тем самым снижаясь в стоимости. К примеру, в своем исследовании,  Брэдли указывает, что снижается уровень открытых глазных операций, а также такие процедуры как биопсия становятся частью первичного приема пациента. Так, исследование Эйзкорби показывает, что для лечения депрессий все больше применяется более дешевая лекарственная терапия, по сравнению с более дорогой вербальной терапией в прошлом. </w:t>
      </w:r>
    </w:p>
    <w:p w:rsidR="00206389" w:rsidRPr="00EC7434" w:rsidRDefault="00206389" w:rsidP="00206389">
      <w:pPr>
        <w:spacing w:after="0" w:line="240" w:lineRule="auto"/>
        <w:ind w:firstLine="709"/>
        <w:jc w:val="both"/>
        <w:rPr>
          <w:rFonts w:cs="Times New Roman"/>
          <w:szCs w:val="28"/>
        </w:rPr>
      </w:pPr>
      <w:r w:rsidRPr="00EC7434">
        <w:rPr>
          <w:rFonts w:cs="Times New Roman"/>
          <w:szCs w:val="28"/>
        </w:rPr>
        <w:t>Первое исследование, посвященное данному методу, появил</w:t>
      </w:r>
      <w:r w:rsidR="00CF1D89">
        <w:rPr>
          <w:rFonts w:cs="Times New Roman"/>
          <w:szCs w:val="28"/>
        </w:rPr>
        <w:t>о</w:t>
      </w:r>
      <w:r w:rsidRPr="00EC7434">
        <w:rPr>
          <w:rFonts w:cs="Times New Roman"/>
          <w:szCs w:val="28"/>
        </w:rPr>
        <w:t>сь в 1964 году  под авторством Анн Скитковски. Статья положила начало дальнейшему развитию данной темы Берндт и др. (2002) (депрессия), Кутлер и др. (1998) (инфаркты),   Шапиро, Шапиро и Уилкокс (2001) (катаракта) То есть данный индекс составляется отдельно для каждого заболевания.</w:t>
      </w:r>
    </w:p>
    <w:p w:rsidR="00206389" w:rsidRPr="00EC7434" w:rsidRDefault="00206389" w:rsidP="00206389">
      <w:pPr>
        <w:spacing w:after="0" w:line="240" w:lineRule="auto"/>
        <w:ind w:firstLine="709"/>
        <w:jc w:val="both"/>
        <w:rPr>
          <w:rFonts w:cs="Times New Roman"/>
          <w:szCs w:val="28"/>
        </w:rPr>
      </w:pPr>
      <w:r w:rsidRPr="00EC7434">
        <w:rPr>
          <w:rFonts w:cs="Times New Roman"/>
          <w:szCs w:val="28"/>
        </w:rPr>
        <w:t>Сложность данного метода заключается в сборе данных.  Как утверждает Бредли и др., очень мало медицинских организаций которые применяют все виды фармацевтических средств, методов лечения и специалистов для лечения определенного заболевания. Однако, это остается перспективным методом оценки цен в экономике здравоохранения.</w:t>
      </w:r>
    </w:p>
    <w:p w:rsidR="00206389" w:rsidRPr="00EC7434" w:rsidRDefault="00206389" w:rsidP="00206389">
      <w:pPr>
        <w:spacing w:after="0" w:line="240" w:lineRule="auto"/>
        <w:ind w:firstLine="709"/>
        <w:jc w:val="both"/>
        <w:rPr>
          <w:rFonts w:cs="Times New Roman"/>
          <w:szCs w:val="28"/>
        </w:rPr>
      </w:pPr>
      <w:r w:rsidRPr="00EC7434">
        <w:rPr>
          <w:rFonts w:cs="Times New Roman"/>
          <w:szCs w:val="28"/>
        </w:rPr>
        <w:t>Среди преимуществ данного подхода они отмечают следующие: i) какие заболевания имеют наибольший вклад в рост издержек медицинских услуг; ii) как только определяются самые  затратные заболевания, можно выявить  то, является ли это следствием инфляции, распространенности, или перерасхода средств и труда; iii) появляется возможность пересчитать статьи расходов, исходя из новых, ин</w:t>
      </w:r>
      <w:r>
        <w:rPr>
          <w:rFonts w:cs="Times New Roman"/>
          <w:szCs w:val="28"/>
        </w:rPr>
        <w:t>новационных методов лечения</w:t>
      </w:r>
    </w:p>
    <w:p w:rsidR="00FA4411" w:rsidRDefault="00206389" w:rsidP="00206389">
      <w:pPr>
        <w:spacing w:after="0" w:line="240" w:lineRule="auto"/>
        <w:ind w:firstLine="709"/>
        <w:jc w:val="both"/>
        <w:rPr>
          <w:rFonts w:cs="Times New Roman"/>
          <w:szCs w:val="28"/>
        </w:rPr>
      </w:pPr>
      <w:r w:rsidRPr="00EC7434">
        <w:rPr>
          <w:rFonts w:cs="Times New Roman"/>
          <w:szCs w:val="28"/>
        </w:rPr>
        <w:t xml:space="preserve">Также можно увидеть, что по результатам исследования, альтернативный метод дает возможность более детальной оценки. Так, для одних заболеваний драйверов роста затрат становилась инфляция, а, для других распространенность.  </w:t>
      </w:r>
    </w:p>
    <w:p w:rsidR="00FA4411" w:rsidRDefault="00FA4411">
      <w:pPr>
        <w:rPr>
          <w:rFonts w:cs="Times New Roman"/>
          <w:szCs w:val="28"/>
        </w:rPr>
      </w:pPr>
      <w:r>
        <w:rPr>
          <w:rFonts w:cs="Times New Roman"/>
          <w:szCs w:val="28"/>
        </w:rPr>
        <w:br w:type="page"/>
      </w:r>
    </w:p>
    <w:p w:rsidR="00FA4411" w:rsidRPr="00FA4411" w:rsidRDefault="00FA4411" w:rsidP="00FA4411">
      <w:pPr>
        <w:pStyle w:val="2"/>
        <w:spacing w:before="0" w:line="240" w:lineRule="auto"/>
        <w:ind w:firstLine="709"/>
        <w:rPr>
          <w:rFonts w:ascii="Times New Roman" w:hAnsi="Times New Roman" w:cs="Times New Roman"/>
          <w:color w:val="auto"/>
          <w:sz w:val="28"/>
          <w:szCs w:val="28"/>
        </w:rPr>
      </w:pPr>
      <w:r w:rsidRPr="00FA4411">
        <w:rPr>
          <w:rFonts w:ascii="Times New Roman" w:hAnsi="Times New Roman" w:cs="Times New Roman"/>
          <w:color w:val="auto"/>
          <w:sz w:val="28"/>
          <w:szCs w:val="28"/>
        </w:rPr>
        <w:lastRenderedPageBreak/>
        <w:t>Глава 2. Анализ медицинской инфляции в Республике Казахстан.</w:t>
      </w:r>
    </w:p>
    <w:p w:rsidR="00FA4411" w:rsidRDefault="00FA4411" w:rsidP="00FA4411">
      <w:pPr>
        <w:spacing w:after="0" w:line="240" w:lineRule="auto"/>
        <w:ind w:firstLine="709"/>
        <w:jc w:val="both"/>
        <w:rPr>
          <w:rFonts w:cs="Times New Roman"/>
          <w:szCs w:val="28"/>
        </w:rPr>
      </w:pPr>
    </w:p>
    <w:p w:rsidR="00FA4411" w:rsidRPr="003C3F3F" w:rsidRDefault="00FA4411" w:rsidP="00FA4411">
      <w:pPr>
        <w:spacing w:after="0" w:line="240" w:lineRule="auto"/>
        <w:ind w:firstLine="709"/>
        <w:jc w:val="both"/>
        <w:rPr>
          <w:rFonts w:cs="Times New Roman"/>
          <w:szCs w:val="28"/>
        </w:rPr>
      </w:pPr>
      <w:r w:rsidRPr="003C3F3F">
        <w:rPr>
          <w:rFonts w:cs="Times New Roman"/>
          <w:szCs w:val="28"/>
        </w:rPr>
        <w:t>Расчет уровня медицинской инфляции в Казахстане проводится в рамках оценки общего уровня цен в стране, проводимой с использованием индексного метода.</w:t>
      </w:r>
    </w:p>
    <w:p w:rsidR="00FA4411" w:rsidRPr="003C3F3F" w:rsidRDefault="00FA4411" w:rsidP="00FA4411">
      <w:pPr>
        <w:spacing w:after="0" w:line="240" w:lineRule="auto"/>
        <w:ind w:firstLine="709"/>
        <w:jc w:val="both"/>
        <w:rPr>
          <w:rFonts w:cs="Times New Roman"/>
          <w:szCs w:val="28"/>
        </w:rPr>
      </w:pPr>
      <w:r w:rsidRPr="003C3F3F">
        <w:rPr>
          <w:rFonts w:cs="Times New Roman"/>
          <w:szCs w:val="28"/>
        </w:rPr>
        <w:t>Аналогично с другими странами оценкой уровня инфляции в Казахстане занимается Комитет по статистике Министерства национальной экономики РК (далее – КС МНЭ). В качестве базового индекса инфляции рассчитывается ИПЦ в соответствии с международными рекомендациями МВФ</w:t>
      </w:r>
      <w:r w:rsidRPr="003C3F3F">
        <w:rPr>
          <w:rStyle w:val="af"/>
          <w:rFonts w:cs="Times New Roman"/>
          <w:szCs w:val="28"/>
        </w:rPr>
        <w:footnoteReference w:id="1"/>
      </w:r>
      <w:r w:rsidRPr="003C3F3F">
        <w:rPr>
          <w:rFonts w:cs="Times New Roman"/>
          <w:szCs w:val="28"/>
        </w:rPr>
        <w:t xml:space="preserve">. Методика расчета ИПЦ сформулирована в «Методологии построения индекса потребительских цен», утверждённой приказом и.о. Председателя КС МНЭ от 30 декабря 2015 года №230. </w:t>
      </w:r>
    </w:p>
    <w:p w:rsidR="00FA4411" w:rsidRPr="003C3F3F" w:rsidRDefault="00FA4411" w:rsidP="00FA4411">
      <w:pPr>
        <w:spacing w:after="0" w:line="240" w:lineRule="auto"/>
        <w:ind w:firstLine="709"/>
        <w:jc w:val="both"/>
        <w:rPr>
          <w:rFonts w:cs="Times New Roman"/>
          <w:szCs w:val="28"/>
        </w:rPr>
      </w:pPr>
      <w:r w:rsidRPr="003C3F3F">
        <w:rPr>
          <w:rFonts w:cs="Times New Roman"/>
          <w:szCs w:val="28"/>
        </w:rPr>
        <w:t>Согласно методологии Комитета по статистике РК формирование ИПЦ является основой для расчета индексов цен для групп населения с различным уровнем среднедушевых денежных доходов, базовой инфляции, индекса розничных цен. Информационной базой для их исчисления являются данные об уровне цен на потребительские товары и платные услуги, приобретаемые населением, структура потребительских расходов домашних хозяйств, розничного товарооборота.</w:t>
      </w:r>
    </w:p>
    <w:p w:rsidR="00FA4411" w:rsidRPr="003C3F3F" w:rsidRDefault="00FA4411" w:rsidP="00FA4411">
      <w:pPr>
        <w:spacing w:after="0" w:line="240" w:lineRule="auto"/>
        <w:ind w:firstLine="709"/>
        <w:jc w:val="both"/>
        <w:rPr>
          <w:rFonts w:cs="Times New Roman"/>
          <w:szCs w:val="28"/>
        </w:rPr>
      </w:pPr>
      <w:r w:rsidRPr="003C3F3F">
        <w:rPr>
          <w:rFonts w:cs="Times New Roman"/>
          <w:szCs w:val="28"/>
        </w:rPr>
        <w:t>Следуя утвержденной методологии, ИПЦ рассчитывается в два этапа: первым этапом вычисляются индексы цен элементарного агрегата, так называемый индивидуальный индекс цен, на втором этапе – агрегированные индексы цен, представляющие собой индексы цен более высокого уровня путем агрегирования индивидуальных индексов по каждой товарной позиции каждого региона. Расчет индивидуального индекса производится на основании расчета соотношения невзвешенных средних геометрических цен по формуле индекса Джевонса.</w:t>
      </w:r>
    </w:p>
    <w:p w:rsidR="00FA4411" w:rsidRPr="003C3F3F" w:rsidRDefault="00FA4411" w:rsidP="00FA4411">
      <w:pPr>
        <w:spacing w:after="0" w:line="240" w:lineRule="auto"/>
        <w:ind w:firstLine="709"/>
        <w:jc w:val="both"/>
        <w:rPr>
          <w:rFonts w:cs="Times New Roman"/>
          <w:szCs w:val="28"/>
        </w:rPr>
      </w:pPr>
      <w:r w:rsidRPr="003C3F3F">
        <w:rPr>
          <w:rFonts w:cs="Times New Roman"/>
          <w:szCs w:val="28"/>
        </w:rPr>
        <w:t>Агрегированные индексы цен по классам, группам, разделам на национальном уровне рассчитываются как средневзвешенные значения индивидуальных индексов цен по модифицированной формуле Ласпейреса.</w:t>
      </w:r>
    </w:p>
    <w:p w:rsidR="00FA4411" w:rsidRPr="003C3F3F" w:rsidRDefault="00FA4411" w:rsidP="00FA4411">
      <w:pPr>
        <w:spacing w:after="0" w:line="240" w:lineRule="auto"/>
        <w:ind w:firstLine="709"/>
        <w:jc w:val="both"/>
        <w:rPr>
          <w:rFonts w:cs="Times New Roman"/>
          <w:szCs w:val="28"/>
        </w:rPr>
      </w:pPr>
      <w:r w:rsidRPr="003C3F3F">
        <w:rPr>
          <w:rFonts w:cs="Times New Roman"/>
          <w:szCs w:val="28"/>
        </w:rPr>
        <w:t>Комитетом по статистике ежегодно публикуются веса различных секторов экономики в составе индекса потребительских цен, рассчитываемого на республиканском уровне (таблица 1).</w:t>
      </w:r>
    </w:p>
    <w:p w:rsidR="00A474DD" w:rsidRDefault="00FA4411" w:rsidP="00FA4411">
      <w:pPr>
        <w:spacing w:after="0" w:line="240" w:lineRule="auto"/>
        <w:ind w:firstLine="709"/>
        <w:rPr>
          <w:rFonts w:cs="Times New Roman"/>
          <w:b/>
          <w:szCs w:val="28"/>
        </w:rPr>
      </w:pPr>
      <w:r w:rsidRPr="003C3F3F">
        <w:rPr>
          <w:rFonts w:cs="Times New Roman"/>
          <w:b/>
          <w:szCs w:val="28"/>
        </w:rPr>
        <w:t>Таблица 1. Схема взвешивания ИПЦ</w:t>
      </w:r>
    </w:p>
    <w:p w:rsidR="00CF1D89" w:rsidRPr="00CF1D89" w:rsidRDefault="00CA443F" w:rsidP="00CF1D89">
      <w:pPr>
        <w:spacing w:after="0" w:line="240" w:lineRule="auto"/>
        <w:ind w:firstLine="709"/>
        <w:rPr>
          <w:rFonts w:cs="Times New Roman"/>
          <w:b/>
          <w:szCs w:val="28"/>
        </w:rPr>
      </w:pPr>
      <w:r w:rsidRPr="003C3F3F">
        <w:rPr>
          <w:rFonts w:cs="Times New Roman"/>
          <w:b/>
          <w:szCs w:val="28"/>
        </w:rPr>
        <w:fldChar w:fldCharType="begin"/>
      </w:r>
      <w:r w:rsidR="00FA4411" w:rsidRPr="003C3F3F">
        <w:rPr>
          <w:rFonts w:cs="Times New Roman"/>
          <w:b/>
          <w:szCs w:val="28"/>
        </w:rPr>
        <w:instrText xml:space="preserve"> LINK </w:instrText>
      </w:r>
      <w:r w:rsidR="009D3300">
        <w:rPr>
          <w:rFonts w:cs="Times New Roman"/>
          <w:b/>
          <w:szCs w:val="28"/>
        </w:rPr>
        <w:instrText xml:space="preserve">Excel.Sheet.12 "C:\\Users\\zagidullina_g\\Downloads\\Инфляция- отчет - копия\\Инфляция- отчет - копия\\Инфляция (1).xlsx" "Доля Здрав!R3C1:R4C9" </w:instrText>
      </w:r>
      <w:r w:rsidR="00FA4411" w:rsidRPr="003C3F3F">
        <w:rPr>
          <w:rFonts w:cs="Times New Roman"/>
          <w:b/>
          <w:szCs w:val="28"/>
        </w:rPr>
        <w:instrText xml:space="preserve">\a \f 5 \h  \* MERGEFORMAT </w:instrText>
      </w:r>
      <w:r w:rsidRPr="003C3F3F">
        <w:rPr>
          <w:rFonts w:cs="Times New Roman"/>
          <w:b/>
          <w:szCs w:val="28"/>
        </w:rPr>
        <w:fldChar w:fldCharType="separate"/>
      </w:r>
    </w:p>
    <w:tbl>
      <w:tblPr>
        <w:tblStyle w:val="af0"/>
        <w:tblW w:w="8525" w:type="dxa"/>
        <w:jc w:val="center"/>
        <w:tblLook w:val="04A0" w:firstRow="1" w:lastRow="0" w:firstColumn="1" w:lastColumn="0" w:noHBand="0" w:noVBand="1"/>
      </w:tblPr>
      <w:tblGrid>
        <w:gridCol w:w="2659"/>
        <w:gridCol w:w="979"/>
        <w:gridCol w:w="979"/>
        <w:gridCol w:w="979"/>
        <w:gridCol w:w="979"/>
        <w:gridCol w:w="975"/>
        <w:gridCol w:w="975"/>
      </w:tblGrid>
      <w:tr w:rsidR="009D7F97" w:rsidRPr="00CF1D89" w:rsidTr="009D7F97">
        <w:trPr>
          <w:divId w:val="1968510097"/>
          <w:trHeight w:val="314"/>
          <w:jc w:val="center"/>
        </w:trPr>
        <w:tc>
          <w:tcPr>
            <w:tcW w:w="2659" w:type="dxa"/>
            <w:noWrap/>
            <w:hideMark/>
          </w:tcPr>
          <w:p w:rsidR="009D7F97" w:rsidRPr="00CF1D89" w:rsidRDefault="009D7F97" w:rsidP="00CF1D89">
            <w:pPr>
              <w:jc w:val="center"/>
              <w:rPr>
                <w:rFonts w:cs="Times New Roman"/>
                <w:b/>
                <w:szCs w:val="28"/>
              </w:rPr>
            </w:pPr>
          </w:p>
        </w:tc>
        <w:tc>
          <w:tcPr>
            <w:tcW w:w="979" w:type="dxa"/>
            <w:noWrap/>
            <w:hideMark/>
          </w:tcPr>
          <w:p w:rsidR="009D7F97" w:rsidRPr="00CF1D89" w:rsidRDefault="009D7F97" w:rsidP="00CF1D89">
            <w:pPr>
              <w:jc w:val="center"/>
              <w:rPr>
                <w:rFonts w:cs="Times New Roman"/>
                <w:b/>
                <w:szCs w:val="28"/>
              </w:rPr>
            </w:pPr>
            <w:r w:rsidRPr="00CF1D89">
              <w:rPr>
                <w:rFonts w:cs="Times New Roman"/>
                <w:b/>
                <w:szCs w:val="28"/>
              </w:rPr>
              <w:t>2012</w:t>
            </w:r>
          </w:p>
        </w:tc>
        <w:tc>
          <w:tcPr>
            <w:tcW w:w="979" w:type="dxa"/>
            <w:noWrap/>
            <w:hideMark/>
          </w:tcPr>
          <w:p w:rsidR="009D7F97" w:rsidRPr="00CF1D89" w:rsidRDefault="009D7F97" w:rsidP="00CF1D89">
            <w:pPr>
              <w:jc w:val="center"/>
              <w:rPr>
                <w:rFonts w:cs="Times New Roman"/>
                <w:b/>
                <w:szCs w:val="28"/>
              </w:rPr>
            </w:pPr>
            <w:r w:rsidRPr="00CF1D89">
              <w:rPr>
                <w:rFonts w:cs="Times New Roman"/>
                <w:b/>
                <w:szCs w:val="28"/>
              </w:rPr>
              <w:t>2013</w:t>
            </w:r>
          </w:p>
        </w:tc>
        <w:tc>
          <w:tcPr>
            <w:tcW w:w="979" w:type="dxa"/>
            <w:noWrap/>
            <w:hideMark/>
          </w:tcPr>
          <w:p w:rsidR="009D7F97" w:rsidRPr="00CF1D89" w:rsidRDefault="009D7F97" w:rsidP="00CF1D89">
            <w:pPr>
              <w:rPr>
                <w:rFonts w:cs="Times New Roman"/>
                <w:b/>
                <w:szCs w:val="28"/>
              </w:rPr>
            </w:pPr>
            <w:r w:rsidRPr="00CF1D89">
              <w:rPr>
                <w:rFonts w:cs="Times New Roman"/>
                <w:b/>
                <w:szCs w:val="28"/>
              </w:rPr>
              <w:t>2014</w:t>
            </w:r>
          </w:p>
        </w:tc>
        <w:tc>
          <w:tcPr>
            <w:tcW w:w="979" w:type="dxa"/>
            <w:noWrap/>
            <w:hideMark/>
          </w:tcPr>
          <w:p w:rsidR="009D7F97" w:rsidRPr="00CF1D89" w:rsidRDefault="009D7F97" w:rsidP="00CF1D89">
            <w:pPr>
              <w:rPr>
                <w:rFonts w:cs="Times New Roman"/>
                <w:b/>
                <w:szCs w:val="28"/>
              </w:rPr>
            </w:pPr>
            <w:r w:rsidRPr="00CF1D89">
              <w:rPr>
                <w:rFonts w:cs="Times New Roman"/>
                <w:b/>
                <w:szCs w:val="28"/>
              </w:rPr>
              <w:t>2015</w:t>
            </w:r>
          </w:p>
        </w:tc>
        <w:tc>
          <w:tcPr>
            <w:tcW w:w="975" w:type="dxa"/>
            <w:noWrap/>
            <w:hideMark/>
          </w:tcPr>
          <w:p w:rsidR="009D7F97" w:rsidRPr="00CF1D89" w:rsidRDefault="009D7F97" w:rsidP="00CF1D89">
            <w:pPr>
              <w:rPr>
                <w:rFonts w:cs="Times New Roman"/>
                <w:b/>
                <w:szCs w:val="28"/>
              </w:rPr>
            </w:pPr>
            <w:r w:rsidRPr="00CF1D89">
              <w:rPr>
                <w:rFonts w:cs="Times New Roman"/>
                <w:b/>
                <w:szCs w:val="28"/>
              </w:rPr>
              <w:t>2016</w:t>
            </w:r>
          </w:p>
        </w:tc>
        <w:tc>
          <w:tcPr>
            <w:tcW w:w="975" w:type="dxa"/>
            <w:noWrap/>
            <w:hideMark/>
          </w:tcPr>
          <w:p w:rsidR="009D7F97" w:rsidRPr="00CF1D89" w:rsidRDefault="009D7F97" w:rsidP="00CF1D89">
            <w:pPr>
              <w:rPr>
                <w:rFonts w:cs="Times New Roman"/>
                <w:b/>
                <w:szCs w:val="28"/>
              </w:rPr>
            </w:pPr>
            <w:r w:rsidRPr="00CF1D89">
              <w:rPr>
                <w:rFonts w:cs="Times New Roman"/>
                <w:b/>
                <w:szCs w:val="28"/>
              </w:rPr>
              <w:t>2017</w:t>
            </w:r>
          </w:p>
        </w:tc>
      </w:tr>
      <w:tr w:rsidR="009D7F97" w:rsidRPr="00CF1D89" w:rsidTr="009D7F97">
        <w:trPr>
          <w:divId w:val="1968510097"/>
          <w:trHeight w:val="487"/>
          <w:jc w:val="center"/>
        </w:trPr>
        <w:tc>
          <w:tcPr>
            <w:tcW w:w="2659" w:type="dxa"/>
            <w:hideMark/>
          </w:tcPr>
          <w:p w:rsidR="009D7F97" w:rsidRPr="00CF1D89" w:rsidRDefault="009D7F97" w:rsidP="00CF1D89">
            <w:pPr>
              <w:rPr>
                <w:rFonts w:cs="Times New Roman"/>
                <w:b/>
                <w:szCs w:val="28"/>
              </w:rPr>
            </w:pPr>
            <w:r w:rsidRPr="00CF1D89">
              <w:rPr>
                <w:rFonts w:cs="Times New Roman"/>
                <w:b/>
                <w:szCs w:val="28"/>
              </w:rPr>
              <w:t>Удельный вес здравоохранения при расчете ИПЦ</w:t>
            </w:r>
            <w:r>
              <w:rPr>
                <w:rFonts w:cs="Times New Roman"/>
                <w:b/>
                <w:szCs w:val="28"/>
              </w:rPr>
              <w:t xml:space="preserve">, </w:t>
            </w:r>
            <w:r w:rsidRPr="00226313">
              <w:rPr>
                <w:rFonts w:cs="Times New Roman"/>
                <w:szCs w:val="28"/>
              </w:rPr>
              <w:t>% от общего значения ИПЦ</w:t>
            </w:r>
          </w:p>
        </w:tc>
        <w:tc>
          <w:tcPr>
            <w:tcW w:w="979" w:type="dxa"/>
            <w:noWrap/>
            <w:hideMark/>
          </w:tcPr>
          <w:p w:rsidR="009D7F97" w:rsidRPr="00226313" w:rsidRDefault="009D7F97" w:rsidP="00CF1D89">
            <w:pPr>
              <w:jc w:val="center"/>
              <w:rPr>
                <w:rFonts w:cs="Times New Roman"/>
                <w:b/>
                <w:szCs w:val="28"/>
              </w:rPr>
            </w:pPr>
            <w:r w:rsidRPr="00226313">
              <w:rPr>
                <w:rFonts w:cs="Times New Roman"/>
                <w:b/>
                <w:szCs w:val="28"/>
              </w:rPr>
              <w:t>3,22</w:t>
            </w:r>
          </w:p>
        </w:tc>
        <w:tc>
          <w:tcPr>
            <w:tcW w:w="979" w:type="dxa"/>
            <w:noWrap/>
            <w:hideMark/>
          </w:tcPr>
          <w:p w:rsidR="009D7F97" w:rsidRPr="00226313" w:rsidRDefault="009D7F97" w:rsidP="00CF1D89">
            <w:pPr>
              <w:jc w:val="center"/>
              <w:rPr>
                <w:rFonts w:cs="Times New Roman"/>
                <w:b/>
                <w:szCs w:val="28"/>
              </w:rPr>
            </w:pPr>
            <w:r w:rsidRPr="00226313">
              <w:rPr>
                <w:rFonts w:cs="Times New Roman"/>
                <w:b/>
                <w:szCs w:val="28"/>
              </w:rPr>
              <w:t>3,18</w:t>
            </w:r>
          </w:p>
        </w:tc>
        <w:tc>
          <w:tcPr>
            <w:tcW w:w="979" w:type="dxa"/>
            <w:noWrap/>
            <w:hideMark/>
          </w:tcPr>
          <w:p w:rsidR="009D7F97" w:rsidRPr="00226313" w:rsidRDefault="009D7F97" w:rsidP="00CF1D89">
            <w:pPr>
              <w:rPr>
                <w:rFonts w:cs="Times New Roman"/>
                <w:b/>
                <w:szCs w:val="28"/>
              </w:rPr>
            </w:pPr>
            <w:r w:rsidRPr="00226313">
              <w:rPr>
                <w:rFonts w:cs="Times New Roman"/>
                <w:b/>
                <w:szCs w:val="28"/>
              </w:rPr>
              <w:t>3,23</w:t>
            </w:r>
          </w:p>
        </w:tc>
        <w:tc>
          <w:tcPr>
            <w:tcW w:w="979" w:type="dxa"/>
            <w:noWrap/>
            <w:hideMark/>
          </w:tcPr>
          <w:p w:rsidR="009D7F97" w:rsidRPr="00CF1D89" w:rsidRDefault="009D7F97" w:rsidP="00CF1D89">
            <w:pPr>
              <w:rPr>
                <w:rFonts w:cs="Times New Roman"/>
                <w:b/>
                <w:szCs w:val="28"/>
              </w:rPr>
            </w:pPr>
            <w:r w:rsidRPr="00CF1D89">
              <w:rPr>
                <w:rFonts w:cs="Times New Roman"/>
                <w:b/>
                <w:szCs w:val="28"/>
              </w:rPr>
              <w:t>3,16</w:t>
            </w:r>
          </w:p>
        </w:tc>
        <w:tc>
          <w:tcPr>
            <w:tcW w:w="975" w:type="dxa"/>
            <w:noWrap/>
            <w:hideMark/>
          </w:tcPr>
          <w:p w:rsidR="009D7F97" w:rsidRPr="00CF1D89" w:rsidRDefault="009D7F97" w:rsidP="00CF1D89">
            <w:pPr>
              <w:rPr>
                <w:rFonts w:cs="Times New Roman"/>
                <w:b/>
                <w:szCs w:val="28"/>
              </w:rPr>
            </w:pPr>
            <w:r w:rsidRPr="00CF1D89">
              <w:rPr>
                <w:rFonts w:cs="Times New Roman"/>
                <w:b/>
                <w:szCs w:val="28"/>
              </w:rPr>
              <w:t>3,72</w:t>
            </w:r>
          </w:p>
        </w:tc>
        <w:tc>
          <w:tcPr>
            <w:tcW w:w="975" w:type="dxa"/>
            <w:noWrap/>
            <w:hideMark/>
          </w:tcPr>
          <w:p w:rsidR="009D7F97" w:rsidRPr="00CF1D89" w:rsidRDefault="009D7F97" w:rsidP="00CF1D89">
            <w:pPr>
              <w:rPr>
                <w:rFonts w:cs="Times New Roman"/>
                <w:b/>
                <w:szCs w:val="28"/>
              </w:rPr>
            </w:pPr>
            <w:r w:rsidRPr="00CF1D89">
              <w:rPr>
                <w:rFonts w:cs="Times New Roman"/>
                <w:b/>
                <w:szCs w:val="28"/>
              </w:rPr>
              <w:t>3,12</w:t>
            </w:r>
          </w:p>
        </w:tc>
      </w:tr>
    </w:tbl>
    <w:p w:rsidR="00FA4411" w:rsidRPr="003C3F3F" w:rsidRDefault="00CA443F" w:rsidP="00FA4411">
      <w:pPr>
        <w:spacing w:after="0" w:line="240" w:lineRule="auto"/>
        <w:ind w:firstLine="709"/>
        <w:jc w:val="both"/>
        <w:rPr>
          <w:rFonts w:cs="Times New Roman"/>
          <w:szCs w:val="28"/>
        </w:rPr>
      </w:pPr>
      <w:r w:rsidRPr="003C3F3F">
        <w:rPr>
          <w:rFonts w:cs="Times New Roman"/>
          <w:szCs w:val="28"/>
        </w:rPr>
        <w:fldChar w:fldCharType="end"/>
      </w:r>
    </w:p>
    <w:p w:rsidR="00FA4411" w:rsidRPr="003C3F3F" w:rsidRDefault="00FA4411" w:rsidP="00FA4411">
      <w:pPr>
        <w:spacing w:after="0" w:line="240" w:lineRule="auto"/>
        <w:ind w:firstLine="709"/>
        <w:jc w:val="both"/>
        <w:rPr>
          <w:rFonts w:cs="Times New Roman"/>
          <w:szCs w:val="28"/>
        </w:rPr>
      </w:pPr>
      <w:r w:rsidRPr="003C3F3F">
        <w:rPr>
          <w:rFonts w:cs="Times New Roman"/>
          <w:szCs w:val="28"/>
        </w:rPr>
        <w:lastRenderedPageBreak/>
        <w:t xml:space="preserve">С 2012 года по настоящее время удельный вес отрасли здравоохранения в структуре ИПЦ практически неизменен и находится в среднем на уровне 3,3%. </w:t>
      </w:r>
    </w:p>
    <w:p w:rsidR="00FA4411" w:rsidRPr="003C3F3F" w:rsidRDefault="00FA4411" w:rsidP="00FA4411">
      <w:pPr>
        <w:spacing w:after="0" w:line="240" w:lineRule="auto"/>
        <w:ind w:firstLine="709"/>
        <w:jc w:val="both"/>
        <w:rPr>
          <w:rFonts w:cs="Times New Roman"/>
          <w:szCs w:val="28"/>
        </w:rPr>
      </w:pPr>
      <w:r w:rsidRPr="003C3F3F">
        <w:rPr>
          <w:rFonts w:cs="Times New Roman"/>
          <w:szCs w:val="28"/>
        </w:rPr>
        <w:t>Согласно Методике каждому товару (услуге), включенному в Перечень специалистами территориальных органов статистики отбираются конкретные товарные позиции или виды оказываемых услуг. В соответствии с пунктом 21 «Методологии построения ИПЦ» в данную выборку входят наиболее репрезентативные, пользующиеся спросом товары и услуги казахстанского и импортного производства.</w:t>
      </w:r>
    </w:p>
    <w:p w:rsidR="00C32C1C" w:rsidRDefault="00FA4411" w:rsidP="00FA4411">
      <w:pPr>
        <w:spacing w:after="0" w:line="240" w:lineRule="auto"/>
        <w:ind w:firstLine="709"/>
        <w:jc w:val="both"/>
        <w:rPr>
          <w:rFonts w:cs="Times New Roman"/>
          <w:szCs w:val="28"/>
        </w:rPr>
      </w:pPr>
      <w:r w:rsidRPr="003C3F3F">
        <w:rPr>
          <w:rFonts w:cs="Times New Roman"/>
          <w:szCs w:val="28"/>
        </w:rPr>
        <w:t>Для анализа были взяты данные КС МНЭ касательно уровня цен в здравоохранении с 2010 по 2017 годы</w:t>
      </w:r>
      <w:r w:rsidR="00226313">
        <w:rPr>
          <w:rFonts w:cs="Times New Roman"/>
          <w:szCs w:val="28"/>
        </w:rPr>
        <w:t xml:space="preserve"> (исходные данные представлены в Приложении)</w:t>
      </w:r>
      <w:r w:rsidRPr="003C3F3F">
        <w:rPr>
          <w:rFonts w:cs="Times New Roman"/>
          <w:szCs w:val="28"/>
        </w:rPr>
        <w:t xml:space="preserve">. </w:t>
      </w:r>
    </w:p>
    <w:p w:rsidR="00FA4411" w:rsidRPr="003C3F3F" w:rsidRDefault="00C32C1C" w:rsidP="00FA4411">
      <w:pPr>
        <w:spacing w:after="0" w:line="240" w:lineRule="auto"/>
        <w:ind w:firstLine="709"/>
        <w:jc w:val="both"/>
        <w:rPr>
          <w:rFonts w:cs="Times New Roman"/>
          <w:szCs w:val="28"/>
        </w:rPr>
      </w:pPr>
      <w:r>
        <w:rPr>
          <w:rFonts w:cs="Times New Roman"/>
          <w:szCs w:val="28"/>
        </w:rPr>
        <w:t>Центром экономики здравоохранения РЦРЗ были проведены расчеты (таблица 3, рисунки 4-8)и сформированы ряд выводов и рекомендаций. Н</w:t>
      </w:r>
      <w:r w:rsidR="00FA4411" w:rsidRPr="003C3F3F">
        <w:rPr>
          <w:rFonts w:cs="Times New Roman"/>
          <w:szCs w:val="28"/>
        </w:rPr>
        <w:t>а протяжении анализируемого периода индекс цен по отрасли здравоохранения превышал общий уровень цен по стране, что свидетельствует о превышении темпов роста цен по медицинским товарам и услугам относительно иных категорий потребительских расходов. В рамках рассматриваемой динамики уровня цен индекс медицинской инфляции содержит в себе укрупненно следующие группы (таблица 2).</w:t>
      </w:r>
    </w:p>
    <w:p w:rsidR="00A474DD" w:rsidRDefault="00A474DD" w:rsidP="00FA4411">
      <w:pPr>
        <w:spacing w:after="0" w:line="240" w:lineRule="auto"/>
        <w:ind w:firstLine="709"/>
        <w:jc w:val="both"/>
        <w:rPr>
          <w:rFonts w:cs="Times New Roman"/>
          <w:b/>
          <w:szCs w:val="28"/>
        </w:rPr>
      </w:pPr>
    </w:p>
    <w:p w:rsidR="00FA4411" w:rsidRDefault="00FA4411" w:rsidP="00FA4411">
      <w:pPr>
        <w:spacing w:after="0" w:line="240" w:lineRule="auto"/>
        <w:ind w:firstLine="709"/>
        <w:jc w:val="both"/>
        <w:rPr>
          <w:rFonts w:cs="Times New Roman"/>
          <w:szCs w:val="28"/>
        </w:rPr>
      </w:pPr>
      <w:r w:rsidRPr="003C3F3F">
        <w:rPr>
          <w:rFonts w:cs="Times New Roman"/>
          <w:b/>
          <w:szCs w:val="28"/>
        </w:rPr>
        <w:t>Таблица 2. Структура и динамика индекса медицинской инфляции, в % к предыдущему году</w:t>
      </w:r>
      <w:r w:rsidRPr="003C3F3F">
        <w:rPr>
          <w:rFonts w:cs="Times New Roman"/>
          <w:szCs w:val="28"/>
        </w:rPr>
        <w:t xml:space="preserve">. </w:t>
      </w:r>
    </w:p>
    <w:p w:rsidR="00A474DD" w:rsidRPr="003C3F3F" w:rsidRDefault="00A474DD" w:rsidP="00FA4411">
      <w:pPr>
        <w:spacing w:after="0" w:line="240" w:lineRule="auto"/>
        <w:ind w:firstLine="709"/>
        <w:jc w:val="both"/>
        <w:rPr>
          <w:rFonts w:cs="Times New Roman"/>
          <w:szCs w:val="28"/>
        </w:rPr>
      </w:pPr>
    </w:p>
    <w:tbl>
      <w:tblPr>
        <w:tblW w:w="8869" w:type="dxa"/>
        <w:jc w:val="center"/>
        <w:tblLayout w:type="fixed"/>
        <w:tblLook w:val="04A0" w:firstRow="1" w:lastRow="0" w:firstColumn="1" w:lastColumn="0" w:noHBand="0" w:noVBand="1"/>
      </w:tblPr>
      <w:tblGrid>
        <w:gridCol w:w="1809"/>
        <w:gridCol w:w="1532"/>
        <w:gridCol w:w="691"/>
        <w:gridCol w:w="691"/>
        <w:gridCol w:w="691"/>
        <w:gridCol w:w="691"/>
        <w:gridCol w:w="691"/>
        <w:gridCol w:w="691"/>
        <w:gridCol w:w="691"/>
        <w:gridCol w:w="691"/>
      </w:tblGrid>
      <w:tr w:rsidR="00FA4411" w:rsidRPr="00156E75" w:rsidTr="00156E75">
        <w:trPr>
          <w:trHeight w:val="285"/>
          <w:jc w:val="center"/>
        </w:trPr>
        <w:tc>
          <w:tcPr>
            <w:tcW w:w="3341" w:type="dxa"/>
            <w:gridSpan w:val="2"/>
            <w:tcBorders>
              <w:top w:val="single" w:sz="8" w:space="0" w:color="auto"/>
              <w:left w:val="single" w:sz="8" w:space="0" w:color="auto"/>
              <w:bottom w:val="single" w:sz="8" w:space="0" w:color="auto"/>
              <w:right w:val="nil"/>
            </w:tcBorders>
            <w:shd w:val="clear" w:color="auto" w:fill="auto"/>
            <w:noWrap/>
            <w:vAlign w:val="center"/>
            <w:hideMark/>
          </w:tcPr>
          <w:p w:rsidR="00FA4411" w:rsidRPr="00156E75" w:rsidRDefault="00FA4411" w:rsidP="00156E75">
            <w:pPr>
              <w:spacing w:after="0" w:line="240" w:lineRule="auto"/>
              <w:rPr>
                <w:rFonts w:eastAsia="Times New Roman" w:cs="Times New Roman"/>
                <w:color w:val="000000"/>
                <w:sz w:val="20"/>
                <w:szCs w:val="20"/>
                <w:lang w:eastAsia="ru-RU"/>
              </w:rPr>
            </w:pPr>
            <w:r w:rsidRPr="00156E75">
              <w:rPr>
                <w:rFonts w:eastAsia="Times New Roman" w:cs="Times New Roman"/>
                <w:color w:val="000000"/>
                <w:sz w:val="20"/>
                <w:szCs w:val="20"/>
                <w:lang w:eastAsia="ru-RU"/>
              </w:rPr>
              <w:t>Наименование</w:t>
            </w:r>
          </w:p>
        </w:tc>
        <w:tc>
          <w:tcPr>
            <w:tcW w:w="691" w:type="dxa"/>
            <w:tcBorders>
              <w:top w:val="single" w:sz="8" w:space="0" w:color="auto"/>
              <w:left w:val="nil"/>
              <w:bottom w:val="single" w:sz="8" w:space="0" w:color="auto"/>
              <w:right w:val="nil"/>
            </w:tcBorders>
            <w:shd w:val="clear" w:color="auto" w:fill="auto"/>
            <w:noWrap/>
            <w:vAlign w:val="center"/>
            <w:hideMark/>
          </w:tcPr>
          <w:p w:rsidR="00FA4411" w:rsidRPr="00156E75" w:rsidRDefault="00FA4411" w:rsidP="00156E75">
            <w:pPr>
              <w:spacing w:after="0" w:line="240" w:lineRule="auto"/>
              <w:jc w:val="center"/>
              <w:rPr>
                <w:rFonts w:eastAsia="Times New Roman" w:cs="Times New Roman"/>
                <w:b/>
                <w:bCs/>
                <w:color w:val="000000"/>
                <w:sz w:val="20"/>
                <w:szCs w:val="20"/>
                <w:lang w:eastAsia="ru-RU"/>
              </w:rPr>
            </w:pPr>
            <w:r w:rsidRPr="00156E75">
              <w:rPr>
                <w:rFonts w:eastAsia="Times New Roman" w:cs="Times New Roman"/>
                <w:b/>
                <w:bCs/>
                <w:color w:val="000000"/>
                <w:sz w:val="20"/>
                <w:szCs w:val="20"/>
                <w:lang w:eastAsia="ru-RU"/>
              </w:rPr>
              <w:t>2010</w:t>
            </w:r>
          </w:p>
        </w:tc>
        <w:tc>
          <w:tcPr>
            <w:tcW w:w="691" w:type="dxa"/>
            <w:tcBorders>
              <w:top w:val="single" w:sz="8" w:space="0" w:color="auto"/>
              <w:left w:val="nil"/>
              <w:bottom w:val="single" w:sz="8" w:space="0" w:color="auto"/>
              <w:right w:val="nil"/>
            </w:tcBorders>
            <w:shd w:val="clear" w:color="auto" w:fill="auto"/>
            <w:noWrap/>
            <w:vAlign w:val="center"/>
            <w:hideMark/>
          </w:tcPr>
          <w:p w:rsidR="00FA4411" w:rsidRPr="00156E75" w:rsidRDefault="00FA4411" w:rsidP="00156E75">
            <w:pPr>
              <w:spacing w:after="0" w:line="240" w:lineRule="auto"/>
              <w:jc w:val="center"/>
              <w:rPr>
                <w:rFonts w:eastAsia="Times New Roman" w:cs="Times New Roman"/>
                <w:b/>
                <w:bCs/>
                <w:color w:val="000000"/>
                <w:sz w:val="20"/>
                <w:szCs w:val="20"/>
                <w:lang w:eastAsia="ru-RU"/>
              </w:rPr>
            </w:pPr>
            <w:r w:rsidRPr="00156E75">
              <w:rPr>
                <w:rFonts w:eastAsia="Times New Roman" w:cs="Times New Roman"/>
                <w:b/>
                <w:bCs/>
                <w:color w:val="000000"/>
                <w:sz w:val="20"/>
                <w:szCs w:val="20"/>
                <w:lang w:eastAsia="ru-RU"/>
              </w:rPr>
              <w:t>2011</w:t>
            </w:r>
          </w:p>
        </w:tc>
        <w:tc>
          <w:tcPr>
            <w:tcW w:w="691" w:type="dxa"/>
            <w:tcBorders>
              <w:top w:val="single" w:sz="8" w:space="0" w:color="auto"/>
              <w:left w:val="nil"/>
              <w:bottom w:val="single" w:sz="8" w:space="0" w:color="auto"/>
              <w:right w:val="nil"/>
            </w:tcBorders>
            <w:shd w:val="clear" w:color="auto" w:fill="auto"/>
            <w:noWrap/>
            <w:vAlign w:val="center"/>
            <w:hideMark/>
          </w:tcPr>
          <w:p w:rsidR="00FA4411" w:rsidRPr="00156E75" w:rsidRDefault="00FA4411" w:rsidP="00156E75">
            <w:pPr>
              <w:spacing w:after="0" w:line="240" w:lineRule="auto"/>
              <w:jc w:val="center"/>
              <w:rPr>
                <w:rFonts w:eastAsia="Times New Roman" w:cs="Times New Roman"/>
                <w:b/>
                <w:bCs/>
                <w:color w:val="000000"/>
                <w:sz w:val="20"/>
                <w:szCs w:val="20"/>
                <w:lang w:eastAsia="ru-RU"/>
              </w:rPr>
            </w:pPr>
            <w:r w:rsidRPr="00156E75">
              <w:rPr>
                <w:rFonts w:eastAsia="Times New Roman" w:cs="Times New Roman"/>
                <w:b/>
                <w:bCs/>
                <w:color w:val="000000"/>
                <w:sz w:val="20"/>
                <w:szCs w:val="20"/>
                <w:lang w:eastAsia="ru-RU"/>
              </w:rPr>
              <w:t>2012</w:t>
            </w:r>
          </w:p>
        </w:tc>
        <w:tc>
          <w:tcPr>
            <w:tcW w:w="691" w:type="dxa"/>
            <w:tcBorders>
              <w:top w:val="single" w:sz="8" w:space="0" w:color="auto"/>
              <w:left w:val="nil"/>
              <w:bottom w:val="single" w:sz="8" w:space="0" w:color="auto"/>
              <w:right w:val="nil"/>
            </w:tcBorders>
            <w:shd w:val="clear" w:color="auto" w:fill="auto"/>
            <w:noWrap/>
            <w:vAlign w:val="center"/>
            <w:hideMark/>
          </w:tcPr>
          <w:p w:rsidR="00FA4411" w:rsidRPr="00156E75" w:rsidRDefault="00FA4411" w:rsidP="00156E75">
            <w:pPr>
              <w:spacing w:after="0" w:line="240" w:lineRule="auto"/>
              <w:jc w:val="center"/>
              <w:rPr>
                <w:rFonts w:eastAsia="Times New Roman" w:cs="Times New Roman"/>
                <w:b/>
                <w:bCs/>
                <w:color w:val="000000"/>
                <w:sz w:val="20"/>
                <w:szCs w:val="20"/>
                <w:lang w:eastAsia="ru-RU"/>
              </w:rPr>
            </w:pPr>
            <w:r w:rsidRPr="00156E75">
              <w:rPr>
                <w:rFonts w:eastAsia="Times New Roman" w:cs="Times New Roman"/>
                <w:b/>
                <w:bCs/>
                <w:color w:val="000000"/>
                <w:sz w:val="20"/>
                <w:szCs w:val="20"/>
                <w:lang w:eastAsia="ru-RU"/>
              </w:rPr>
              <w:t>2013</w:t>
            </w:r>
          </w:p>
        </w:tc>
        <w:tc>
          <w:tcPr>
            <w:tcW w:w="691" w:type="dxa"/>
            <w:tcBorders>
              <w:top w:val="single" w:sz="8" w:space="0" w:color="auto"/>
              <w:left w:val="nil"/>
              <w:bottom w:val="single" w:sz="8" w:space="0" w:color="auto"/>
              <w:right w:val="nil"/>
            </w:tcBorders>
            <w:shd w:val="clear" w:color="auto" w:fill="auto"/>
            <w:noWrap/>
            <w:vAlign w:val="center"/>
            <w:hideMark/>
          </w:tcPr>
          <w:p w:rsidR="00FA4411" w:rsidRPr="00156E75" w:rsidRDefault="00FA4411" w:rsidP="00156E75">
            <w:pPr>
              <w:spacing w:after="0" w:line="240" w:lineRule="auto"/>
              <w:jc w:val="center"/>
              <w:rPr>
                <w:rFonts w:eastAsia="Times New Roman" w:cs="Times New Roman"/>
                <w:b/>
                <w:bCs/>
                <w:color w:val="000000"/>
                <w:sz w:val="20"/>
                <w:szCs w:val="20"/>
                <w:lang w:eastAsia="ru-RU"/>
              </w:rPr>
            </w:pPr>
            <w:r w:rsidRPr="00156E75">
              <w:rPr>
                <w:rFonts w:eastAsia="Times New Roman" w:cs="Times New Roman"/>
                <w:b/>
                <w:bCs/>
                <w:color w:val="000000"/>
                <w:sz w:val="20"/>
                <w:szCs w:val="20"/>
                <w:lang w:eastAsia="ru-RU"/>
              </w:rPr>
              <w:t>2014</w:t>
            </w:r>
          </w:p>
        </w:tc>
        <w:tc>
          <w:tcPr>
            <w:tcW w:w="691" w:type="dxa"/>
            <w:tcBorders>
              <w:top w:val="single" w:sz="8" w:space="0" w:color="auto"/>
              <w:left w:val="nil"/>
              <w:bottom w:val="single" w:sz="8" w:space="0" w:color="auto"/>
              <w:right w:val="nil"/>
            </w:tcBorders>
            <w:shd w:val="clear" w:color="auto" w:fill="auto"/>
            <w:noWrap/>
            <w:vAlign w:val="center"/>
            <w:hideMark/>
          </w:tcPr>
          <w:p w:rsidR="00FA4411" w:rsidRPr="00156E75" w:rsidRDefault="00FA4411" w:rsidP="00156E75">
            <w:pPr>
              <w:spacing w:after="0" w:line="240" w:lineRule="auto"/>
              <w:jc w:val="center"/>
              <w:rPr>
                <w:rFonts w:eastAsia="Times New Roman" w:cs="Times New Roman"/>
                <w:b/>
                <w:bCs/>
                <w:color w:val="000000"/>
                <w:sz w:val="20"/>
                <w:szCs w:val="20"/>
                <w:lang w:eastAsia="ru-RU"/>
              </w:rPr>
            </w:pPr>
            <w:r w:rsidRPr="00156E75">
              <w:rPr>
                <w:rFonts w:eastAsia="Times New Roman" w:cs="Times New Roman"/>
                <w:b/>
                <w:bCs/>
                <w:color w:val="000000"/>
                <w:sz w:val="20"/>
                <w:szCs w:val="20"/>
                <w:lang w:eastAsia="ru-RU"/>
              </w:rPr>
              <w:t>2015</w:t>
            </w:r>
          </w:p>
        </w:tc>
        <w:tc>
          <w:tcPr>
            <w:tcW w:w="691" w:type="dxa"/>
            <w:tcBorders>
              <w:top w:val="single" w:sz="8" w:space="0" w:color="auto"/>
              <w:left w:val="nil"/>
              <w:bottom w:val="single" w:sz="8" w:space="0" w:color="auto"/>
              <w:right w:val="nil"/>
            </w:tcBorders>
            <w:shd w:val="clear" w:color="auto" w:fill="auto"/>
            <w:noWrap/>
            <w:vAlign w:val="center"/>
            <w:hideMark/>
          </w:tcPr>
          <w:p w:rsidR="00FA4411" w:rsidRPr="00156E75" w:rsidRDefault="00FA4411" w:rsidP="00156E75">
            <w:pPr>
              <w:spacing w:after="0" w:line="240" w:lineRule="auto"/>
              <w:jc w:val="center"/>
              <w:rPr>
                <w:rFonts w:eastAsia="Times New Roman" w:cs="Times New Roman"/>
                <w:b/>
                <w:bCs/>
                <w:color w:val="000000"/>
                <w:sz w:val="20"/>
                <w:szCs w:val="20"/>
                <w:lang w:eastAsia="ru-RU"/>
              </w:rPr>
            </w:pPr>
            <w:r w:rsidRPr="00156E75">
              <w:rPr>
                <w:rFonts w:eastAsia="Times New Roman" w:cs="Times New Roman"/>
                <w:b/>
                <w:bCs/>
                <w:color w:val="000000"/>
                <w:sz w:val="20"/>
                <w:szCs w:val="20"/>
                <w:lang w:eastAsia="ru-RU"/>
              </w:rPr>
              <w:t>2016</w:t>
            </w:r>
          </w:p>
        </w:tc>
        <w:tc>
          <w:tcPr>
            <w:tcW w:w="691" w:type="dxa"/>
            <w:tcBorders>
              <w:top w:val="single" w:sz="8" w:space="0" w:color="auto"/>
              <w:left w:val="nil"/>
              <w:bottom w:val="single" w:sz="8" w:space="0" w:color="auto"/>
              <w:right w:val="single" w:sz="8" w:space="0" w:color="auto"/>
            </w:tcBorders>
            <w:shd w:val="clear" w:color="auto" w:fill="auto"/>
            <w:noWrap/>
            <w:vAlign w:val="center"/>
            <w:hideMark/>
          </w:tcPr>
          <w:p w:rsidR="00FA4411" w:rsidRPr="00156E75" w:rsidRDefault="00FA4411" w:rsidP="00156E75">
            <w:pPr>
              <w:spacing w:after="0" w:line="240" w:lineRule="auto"/>
              <w:jc w:val="center"/>
              <w:rPr>
                <w:rFonts w:eastAsia="Times New Roman" w:cs="Times New Roman"/>
                <w:b/>
                <w:bCs/>
                <w:color w:val="000000"/>
                <w:sz w:val="20"/>
                <w:szCs w:val="20"/>
                <w:lang w:eastAsia="ru-RU"/>
              </w:rPr>
            </w:pPr>
            <w:r w:rsidRPr="00156E75">
              <w:rPr>
                <w:rFonts w:eastAsia="Times New Roman" w:cs="Times New Roman"/>
                <w:b/>
                <w:bCs/>
                <w:color w:val="000000"/>
                <w:sz w:val="20"/>
                <w:szCs w:val="20"/>
                <w:lang w:eastAsia="ru-RU"/>
              </w:rPr>
              <w:t>2017</w:t>
            </w:r>
          </w:p>
        </w:tc>
      </w:tr>
      <w:tr w:rsidR="00FA4411" w:rsidRPr="00156E75" w:rsidTr="00156E75">
        <w:trPr>
          <w:trHeight w:val="780"/>
          <w:jc w:val="center"/>
        </w:trPr>
        <w:tc>
          <w:tcPr>
            <w:tcW w:w="1809" w:type="dxa"/>
            <w:tcBorders>
              <w:top w:val="nil"/>
              <w:left w:val="single" w:sz="8" w:space="0" w:color="auto"/>
              <w:bottom w:val="nil"/>
              <w:right w:val="nil"/>
            </w:tcBorders>
            <w:shd w:val="clear" w:color="auto" w:fill="auto"/>
            <w:vAlign w:val="bottom"/>
            <w:hideMark/>
          </w:tcPr>
          <w:p w:rsidR="00FA4411" w:rsidRPr="00156E75" w:rsidRDefault="00FA4411" w:rsidP="00156E75">
            <w:pPr>
              <w:spacing w:after="0" w:line="240" w:lineRule="auto"/>
              <w:rPr>
                <w:rFonts w:eastAsia="Times New Roman" w:cs="Times New Roman"/>
                <w:b/>
                <w:bCs/>
                <w:color w:val="000000"/>
                <w:sz w:val="20"/>
                <w:szCs w:val="20"/>
                <w:lang w:eastAsia="ru-RU"/>
              </w:rPr>
            </w:pPr>
            <w:r w:rsidRPr="00156E75">
              <w:rPr>
                <w:rFonts w:eastAsia="Times New Roman" w:cs="Times New Roman"/>
                <w:b/>
                <w:bCs/>
                <w:color w:val="000000"/>
                <w:sz w:val="20"/>
                <w:szCs w:val="20"/>
                <w:lang w:eastAsia="ru-RU"/>
              </w:rPr>
              <w:t>Медикаменты, лечебное оборудование и аппаратура</w:t>
            </w:r>
          </w:p>
        </w:tc>
        <w:tc>
          <w:tcPr>
            <w:tcW w:w="1532" w:type="dxa"/>
            <w:tcBorders>
              <w:top w:val="nil"/>
              <w:left w:val="nil"/>
              <w:bottom w:val="nil"/>
              <w:right w:val="nil"/>
            </w:tcBorders>
            <w:shd w:val="clear" w:color="auto" w:fill="auto"/>
            <w:noWrap/>
            <w:vAlign w:val="bottom"/>
            <w:hideMark/>
          </w:tcPr>
          <w:p w:rsidR="00FA4411" w:rsidRPr="00156E75" w:rsidRDefault="00FA4411" w:rsidP="00156E75">
            <w:pPr>
              <w:spacing w:after="0" w:line="240" w:lineRule="auto"/>
              <w:rPr>
                <w:rFonts w:eastAsia="Times New Roman" w:cs="Times New Roman"/>
                <w:b/>
                <w:bCs/>
                <w:color w:val="000000"/>
                <w:sz w:val="20"/>
                <w:szCs w:val="20"/>
                <w:lang w:eastAsia="ru-RU"/>
              </w:rPr>
            </w:pPr>
          </w:p>
        </w:tc>
        <w:tc>
          <w:tcPr>
            <w:tcW w:w="691" w:type="dxa"/>
            <w:tcBorders>
              <w:top w:val="nil"/>
              <w:left w:val="nil"/>
              <w:bottom w:val="nil"/>
              <w:right w:val="nil"/>
            </w:tcBorders>
            <w:shd w:val="clear" w:color="auto" w:fill="auto"/>
            <w:noWrap/>
            <w:vAlign w:val="bottom"/>
            <w:hideMark/>
          </w:tcPr>
          <w:p w:rsidR="00FA4411" w:rsidRPr="00156E75" w:rsidRDefault="00FA4411" w:rsidP="00156E75">
            <w:pPr>
              <w:spacing w:after="0" w:line="240" w:lineRule="auto"/>
              <w:jc w:val="right"/>
              <w:rPr>
                <w:rFonts w:eastAsia="Times New Roman" w:cs="Times New Roman"/>
                <w:color w:val="000000"/>
                <w:sz w:val="20"/>
                <w:szCs w:val="20"/>
                <w:lang w:eastAsia="ru-RU"/>
              </w:rPr>
            </w:pPr>
            <w:r w:rsidRPr="00156E75">
              <w:rPr>
                <w:rFonts w:eastAsia="Times New Roman" w:cs="Times New Roman"/>
                <w:color w:val="000000"/>
                <w:sz w:val="20"/>
                <w:szCs w:val="20"/>
                <w:lang w:eastAsia="ru-RU"/>
              </w:rPr>
              <w:t>107,3</w:t>
            </w:r>
          </w:p>
        </w:tc>
        <w:tc>
          <w:tcPr>
            <w:tcW w:w="691" w:type="dxa"/>
            <w:tcBorders>
              <w:top w:val="nil"/>
              <w:left w:val="nil"/>
              <w:bottom w:val="nil"/>
              <w:right w:val="nil"/>
            </w:tcBorders>
            <w:shd w:val="clear" w:color="auto" w:fill="auto"/>
            <w:noWrap/>
            <w:vAlign w:val="bottom"/>
            <w:hideMark/>
          </w:tcPr>
          <w:p w:rsidR="00FA4411" w:rsidRPr="00156E75" w:rsidRDefault="00FA4411" w:rsidP="00156E75">
            <w:pPr>
              <w:spacing w:after="0" w:line="240" w:lineRule="auto"/>
              <w:jc w:val="right"/>
              <w:rPr>
                <w:rFonts w:eastAsia="Times New Roman" w:cs="Times New Roman"/>
                <w:color w:val="000000"/>
                <w:sz w:val="20"/>
                <w:szCs w:val="20"/>
                <w:lang w:eastAsia="ru-RU"/>
              </w:rPr>
            </w:pPr>
            <w:r w:rsidRPr="00156E75">
              <w:rPr>
                <w:rFonts w:eastAsia="Times New Roman" w:cs="Times New Roman"/>
                <w:color w:val="000000"/>
                <w:sz w:val="20"/>
                <w:szCs w:val="20"/>
                <w:lang w:eastAsia="ru-RU"/>
              </w:rPr>
              <w:t>103,5</w:t>
            </w:r>
          </w:p>
        </w:tc>
        <w:tc>
          <w:tcPr>
            <w:tcW w:w="691" w:type="dxa"/>
            <w:tcBorders>
              <w:top w:val="nil"/>
              <w:left w:val="nil"/>
              <w:bottom w:val="nil"/>
              <w:right w:val="nil"/>
            </w:tcBorders>
            <w:shd w:val="clear" w:color="auto" w:fill="auto"/>
            <w:noWrap/>
            <w:vAlign w:val="bottom"/>
            <w:hideMark/>
          </w:tcPr>
          <w:p w:rsidR="00FA4411" w:rsidRPr="00156E75" w:rsidRDefault="00FA4411" w:rsidP="00156E75">
            <w:pPr>
              <w:spacing w:after="0" w:line="240" w:lineRule="auto"/>
              <w:jc w:val="right"/>
              <w:rPr>
                <w:rFonts w:eastAsia="Times New Roman" w:cs="Times New Roman"/>
                <w:color w:val="000000"/>
                <w:sz w:val="20"/>
                <w:szCs w:val="20"/>
                <w:lang w:eastAsia="ru-RU"/>
              </w:rPr>
            </w:pPr>
            <w:r w:rsidRPr="00156E75">
              <w:rPr>
                <w:rFonts w:eastAsia="Times New Roman" w:cs="Times New Roman"/>
                <w:color w:val="000000"/>
                <w:sz w:val="20"/>
                <w:szCs w:val="20"/>
                <w:lang w:eastAsia="ru-RU"/>
              </w:rPr>
              <w:t>102,7</w:t>
            </w:r>
          </w:p>
        </w:tc>
        <w:tc>
          <w:tcPr>
            <w:tcW w:w="691" w:type="dxa"/>
            <w:tcBorders>
              <w:top w:val="nil"/>
              <w:left w:val="nil"/>
              <w:bottom w:val="nil"/>
              <w:right w:val="nil"/>
            </w:tcBorders>
            <w:shd w:val="clear" w:color="auto" w:fill="auto"/>
            <w:noWrap/>
            <w:vAlign w:val="bottom"/>
            <w:hideMark/>
          </w:tcPr>
          <w:p w:rsidR="00FA4411" w:rsidRPr="00156E75" w:rsidRDefault="00FA4411" w:rsidP="00156E75">
            <w:pPr>
              <w:spacing w:after="0" w:line="240" w:lineRule="auto"/>
              <w:jc w:val="right"/>
              <w:rPr>
                <w:rFonts w:eastAsia="Times New Roman" w:cs="Times New Roman"/>
                <w:color w:val="000000"/>
                <w:sz w:val="20"/>
                <w:szCs w:val="20"/>
                <w:lang w:eastAsia="ru-RU"/>
              </w:rPr>
            </w:pPr>
            <w:r w:rsidRPr="00156E75">
              <w:rPr>
                <w:rFonts w:eastAsia="Times New Roman" w:cs="Times New Roman"/>
                <w:color w:val="000000"/>
                <w:sz w:val="20"/>
                <w:szCs w:val="20"/>
                <w:lang w:eastAsia="ru-RU"/>
              </w:rPr>
              <w:t>103,4</w:t>
            </w:r>
          </w:p>
        </w:tc>
        <w:tc>
          <w:tcPr>
            <w:tcW w:w="691" w:type="dxa"/>
            <w:tcBorders>
              <w:top w:val="nil"/>
              <w:left w:val="nil"/>
              <w:bottom w:val="nil"/>
              <w:right w:val="nil"/>
            </w:tcBorders>
            <w:shd w:val="clear" w:color="auto" w:fill="auto"/>
            <w:noWrap/>
            <w:vAlign w:val="bottom"/>
            <w:hideMark/>
          </w:tcPr>
          <w:p w:rsidR="00FA4411" w:rsidRPr="00156E75" w:rsidRDefault="00FA4411" w:rsidP="00156E75">
            <w:pPr>
              <w:spacing w:after="0" w:line="240" w:lineRule="auto"/>
              <w:jc w:val="right"/>
              <w:rPr>
                <w:rFonts w:eastAsia="Times New Roman" w:cs="Times New Roman"/>
                <w:color w:val="000000"/>
                <w:sz w:val="20"/>
                <w:szCs w:val="20"/>
                <w:lang w:eastAsia="ru-RU"/>
              </w:rPr>
            </w:pPr>
            <w:r w:rsidRPr="00156E75">
              <w:rPr>
                <w:rFonts w:eastAsia="Times New Roman" w:cs="Times New Roman"/>
                <w:color w:val="000000"/>
                <w:sz w:val="20"/>
                <w:szCs w:val="20"/>
                <w:lang w:eastAsia="ru-RU"/>
              </w:rPr>
              <w:t>112,7</w:t>
            </w:r>
          </w:p>
        </w:tc>
        <w:tc>
          <w:tcPr>
            <w:tcW w:w="691" w:type="dxa"/>
            <w:tcBorders>
              <w:top w:val="nil"/>
              <w:left w:val="nil"/>
              <w:bottom w:val="nil"/>
              <w:right w:val="nil"/>
            </w:tcBorders>
            <w:shd w:val="clear" w:color="auto" w:fill="auto"/>
            <w:noWrap/>
            <w:vAlign w:val="bottom"/>
            <w:hideMark/>
          </w:tcPr>
          <w:p w:rsidR="00FA4411" w:rsidRPr="00156E75" w:rsidRDefault="00FA4411" w:rsidP="00156E75">
            <w:pPr>
              <w:spacing w:after="0" w:line="240" w:lineRule="auto"/>
              <w:jc w:val="right"/>
              <w:rPr>
                <w:rFonts w:eastAsia="Times New Roman" w:cs="Times New Roman"/>
                <w:color w:val="000000"/>
                <w:sz w:val="20"/>
                <w:szCs w:val="20"/>
                <w:lang w:eastAsia="ru-RU"/>
              </w:rPr>
            </w:pPr>
            <w:r w:rsidRPr="00156E75">
              <w:rPr>
                <w:rFonts w:eastAsia="Times New Roman" w:cs="Times New Roman"/>
                <w:color w:val="000000"/>
                <w:sz w:val="20"/>
                <w:szCs w:val="20"/>
                <w:lang w:eastAsia="ru-RU"/>
              </w:rPr>
              <w:t>130,7</w:t>
            </w:r>
          </w:p>
        </w:tc>
        <w:tc>
          <w:tcPr>
            <w:tcW w:w="691" w:type="dxa"/>
            <w:tcBorders>
              <w:top w:val="nil"/>
              <w:left w:val="nil"/>
              <w:bottom w:val="nil"/>
              <w:right w:val="nil"/>
            </w:tcBorders>
            <w:shd w:val="clear" w:color="auto" w:fill="auto"/>
            <w:noWrap/>
            <w:vAlign w:val="bottom"/>
            <w:hideMark/>
          </w:tcPr>
          <w:p w:rsidR="00FA4411" w:rsidRPr="00156E75" w:rsidRDefault="00FA4411" w:rsidP="00156E75">
            <w:pPr>
              <w:spacing w:after="0" w:line="240" w:lineRule="auto"/>
              <w:jc w:val="right"/>
              <w:rPr>
                <w:rFonts w:eastAsia="Times New Roman" w:cs="Times New Roman"/>
                <w:color w:val="000000"/>
                <w:sz w:val="20"/>
                <w:szCs w:val="20"/>
                <w:lang w:eastAsia="ru-RU"/>
              </w:rPr>
            </w:pPr>
            <w:r w:rsidRPr="00156E75">
              <w:rPr>
                <w:rFonts w:eastAsia="Times New Roman" w:cs="Times New Roman"/>
                <w:color w:val="000000"/>
                <w:sz w:val="20"/>
                <w:szCs w:val="20"/>
                <w:lang w:eastAsia="ru-RU"/>
              </w:rPr>
              <w:t>117,3</w:t>
            </w:r>
          </w:p>
        </w:tc>
        <w:tc>
          <w:tcPr>
            <w:tcW w:w="691" w:type="dxa"/>
            <w:tcBorders>
              <w:top w:val="nil"/>
              <w:left w:val="nil"/>
              <w:bottom w:val="nil"/>
              <w:right w:val="single" w:sz="8" w:space="0" w:color="auto"/>
            </w:tcBorders>
            <w:shd w:val="clear" w:color="auto" w:fill="auto"/>
            <w:noWrap/>
            <w:vAlign w:val="bottom"/>
            <w:hideMark/>
          </w:tcPr>
          <w:p w:rsidR="00FA4411" w:rsidRPr="00156E75" w:rsidRDefault="00FA4411" w:rsidP="00156E75">
            <w:pPr>
              <w:spacing w:after="0" w:line="240" w:lineRule="auto"/>
              <w:jc w:val="right"/>
              <w:rPr>
                <w:rFonts w:eastAsia="Times New Roman" w:cs="Times New Roman"/>
                <w:color w:val="000000"/>
                <w:sz w:val="20"/>
                <w:szCs w:val="20"/>
                <w:lang w:eastAsia="ru-RU"/>
              </w:rPr>
            </w:pPr>
            <w:r w:rsidRPr="00156E75">
              <w:rPr>
                <w:rFonts w:eastAsia="Times New Roman" w:cs="Times New Roman"/>
                <w:color w:val="000000"/>
                <w:sz w:val="20"/>
                <w:szCs w:val="20"/>
                <w:lang w:eastAsia="ru-RU"/>
              </w:rPr>
              <w:t>106,5</w:t>
            </w:r>
          </w:p>
        </w:tc>
      </w:tr>
      <w:tr w:rsidR="00FA4411" w:rsidRPr="00156E75" w:rsidTr="00156E75">
        <w:trPr>
          <w:trHeight w:val="540"/>
          <w:jc w:val="center"/>
        </w:trPr>
        <w:tc>
          <w:tcPr>
            <w:tcW w:w="1809" w:type="dxa"/>
            <w:tcBorders>
              <w:top w:val="nil"/>
              <w:left w:val="single" w:sz="8" w:space="0" w:color="auto"/>
              <w:bottom w:val="nil"/>
              <w:right w:val="nil"/>
            </w:tcBorders>
            <w:shd w:val="clear" w:color="auto" w:fill="auto"/>
            <w:noWrap/>
            <w:vAlign w:val="bottom"/>
            <w:hideMark/>
          </w:tcPr>
          <w:p w:rsidR="00FA4411" w:rsidRPr="00156E75" w:rsidRDefault="00FA4411" w:rsidP="00156E75">
            <w:pPr>
              <w:spacing w:after="0" w:line="240" w:lineRule="auto"/>
              <w:outlineLvl w:val="0"/>
              <w:rPr>
                <w:rFonts w:eastAsia="Times New Roman" w:cs="Times New Roman"/>
                <w:color w:val="000000"/>
                <w:sz w:val="20"/>
                <w:szCs w:val="20"/>
                <w:lang w:eastAsia="ru-RU"/>
              </w:rPr>
            </w:pPr>
            <w:r w:rsidRPr="00156E75">
              <w:rPr>
                <w:rFonts w:eastAsia="Times New Roman" w:cs="Times New Roman"/>
                <w:color w:val="000000"/>
                <w:sz w:val="20"/>
                <w:szCs w:val="20"/>
                <w:lang w:eastAsia="ru-RU"/>
              </w:rPr>
              <w:t> </w:t>
            </w:r>
          </w:p>
        </w:tc>
        <w:tc>
          <w:tcPr>
            <w:tcW w:w="1532" w:type="dxa"/>
            <w:tcBorders>
              <w:top w:val="nil"/>
              <w:left w:val="nil"/>
              <w:bottom w:val="nil"/>
              <w:right w:val="nil"/>
            </w:tcBorders>
            <w:shd w:val="clear" w:color="auto" w:fill="auto"/>
            <w:vAlign w:val="bottom"/>
            <w:hideMark/>
          </w:tcPr>
          <w:p w:rsidR="00FA4411" w:rsidRPr="00156E75" w:rsidRDefault="00FA4411" w:rsidP="00156E75">
            <w:pPr>
              <w:spacing w:after="0" w:line="240" w:lineRule="auto"/>
              <w:outlineLvl w:val="0"/>
              <w:rPr>
                <w:rFonts w:eastAsia="Times New Roman" w:cs="Times New Roman"/>
                <w:color w:val="000000"/>
                <w:sz w:val="20"/>
                <w:szCs w:val="20"/>
                <w:lang w:eastAsia="ru-RU"/>
              </w:rPr>
            </w:pPr>
            <w:r w:rsidRPr="00156E75">
              <w:rPr>
                <w:rFonts w:eastAsia="Times New Roman" w:cs="Times New Roman"/>
                <w:color w:val="000000"/>
                <w:sz w:val="20"/>
                <w:szCs w:val="20"/>
                <w:lang w:eastAsia="ru-RU"/>
              </w:rPr>
              <w:t>Фармацевтические препараты</w:t>
            </w:r>
          </w:p>
        </w:tc>
        <w:tc>
          <w:tcPr>
            <w:tcW w:w="691" w:type="dxa"/>
            <w:tcBorders>
              <w:top w:val="nil"/>
              <w:left w:val="nil"/>
              <w:bottom w:val="nil"/>
              <w:right w:val="nil"/>
            </w:tcBorders>
            <w:shd w:val="clear" w:color="auto" w:fill="auto"/>
            <w:noWrap/>
            <w:vAlign w:val="bottom"/>
            <w:hideMark/>
          </w:tcPr>
          <w:p w:rsidR="00FA4411" w:rsidRPr="00156E75" w:rsidRDefault="00FA4411" w:rsidP="00156E75">
            <w:pPr>
              <w:spacing w:after="0" w:line="240" w:lineRule="auto"/>
              <w:jc w:val="right"/>
              <w:outlineLvl w:val="0"/>
              <w:rPr>
                <w:rFonts w:eastAsia="Times New Roman" w:cs="Times New Roman"/>
                <w:color w:val="000000"/>
                <w:sz w:val="20"/>
                <w:szCs w:val="20"/>
                <w:lang w:eastAsia="ru-RU"/>
              </w:rPr>
            </w:pPr>
            <w:r w:rsidRPr="00156E75">
              <w:rPr>
                <w:rFonts w:eastAsia="Times New Roman" w:cs="Times New Roman"/>
                <w:color w:val="000000"/>
                <w:sz w:val="20"/>
                <w:szCs w:val="20"/>
                <w:lang w:eastAsia="ru-RU"/>
              </w:rPr>
              <w:t>107,6</w:t>
            </w:r>
          </w:p>
        </w:tc>
        <w:tc>
          <w:tcPr>
            <w:tcW w:w="691" w:type="dxa"/>
            <w:tcBorders>
              <w:top w:val="nil"/>
              <w:left w:val="nil"/>
              <w:bottom w:val="nil"/>
              <w:right w:val="nil"/>
            </w:tcBorders>
            <w:shd w:val="clear" w:color="auto" w:fill="auto"/>
            <w:noWrap/>
            <w:vAlign w:val="bottom"/>
            <w:hideMark/>
          </w:tcPr>
          <w:p w:rsidR="00FA4411" w:rsidRPr="00156E75" w:rsidRDefault="00FA4411" w:rsidP="00156E75">
            <w:pPr>
              <w:spacing w:after="0" w:line="240" w:lineRule="auto"/>
              <w:jc w:val="right"/>
              <w:outlineLvl w:val="0"/>
              <w:rPr>
                <w:rFonts w:eastAsia="Times New Roman" w:cs="Times New Roman"/>
                <w:color w:val="000000"/>
                <w:sz w:val="20"/>
                <w:szCs w:val="20"/>
                <w:lang w:eastAsia="ru-RU"/>
              </w:rPr>
            </w:pPr>
            <w:r w:rsidRPr="00156E75">
              <w:rPr>
                <w:rFonts w:eastAsia="Times New Roman" w:cs="Times New Roman"/>
                <w:color w:val="000000"/>
                <w:sz w:val="20"/>
                <w:szCs w:val="20"/>
                <w:lang w:eastAsia="ru-RU"/>
              </w:rPr>
              <w:t>103</w:t>
            </w:r>
          </w:p>
        </w:tc>
        <w:tc>
          <w:tcPr>
            <w:tcW w:w="691" w:type="dxa"/>
            <w:tcBorders>
              <w:top w:val="nil"/>
              <w:left w:val="nil"/>
              <w:bottom w:val="nil"/>
              <w:right w:val="nil"/>
            </w:tcBorders>
            <w:shd w:val="clear" w:color="auto" w:fill="auto"/>
            <w:noWrap/>
            <w:vAlign w:val="bottom"/>
            <w:hideMark/>
          </w:tcPr>
          <w:p w:rsidR="00FA4411" w:rsidRPr="00156E75" w:rsidRDefault="00FA4411" w:rsidP="00156E75">
            <w:pPr>
              <w:spacing w:after="0" w:line="240" w:lineRule="auto"/>
              <w:jc w:val="right"/>
              <w:outlineLvl w:val="0"/>
              <w:rPr>
                <w:rFonts w:eastAsia="Times New Roman" w:cs="Times New Roman"/>
                <w:color w:val="000000"/>
                <w:sz w:val="20"/>
                <w:szCs w:val="20"/>
                <w:lang w:eastAsia="ru-RU"/>
              </w:rPr>
            </w:pPr>
            <w:r w:rsidRPr="00156E75">
              <w:rPr>
                <w:rFonts w:eastAsia="Times New Roman" w:cs="Times New Roman"/>
                <w:color w:val="000000"/>
                <w:sz w:val="20"/>
                <w:szCs w:val="20"/>
                <w:lang w:eastAsia="ru-RU"/>
              </w:rPr>
              <w:t>102,6</w:t>
            </w:r>
          </w:p>
        </w:tc>
        <w:tc>
          <w:tcPr>
            <w:tcW w:w="691" w:type="dxa"/>
            <w:tcBorders>
              <w:top w:val="nil"/>
              <w:left w:val="nil"/>
              <w:bottom w:val="nil"/>
              <w:right w:val="nil"/>
            </w:tcBorders>
            <w:shd w:val="clear" w:color="auto" w:fill="auto"/>
            <w:noWrap/>
            <w:vAlign w:val="bottom"/>
            <w:hideMark/>
          </w:tcPr>
          <w:p w:rsidR="00FA4411" w:rsidRPr="00156E75" w:rsidRDefault="00FA4411" w:rsidP="00156E75">
            <w:pPr>
              <w:spacing w:after="0" w:line="240" w:lineRule="auto"/>
              <w:jc w:val="right"/>
              <w:outlineLvl w:val="0"/>
              <w:rPr>
                <w:rFonts w:eastAsia="Times New Roman" w:cs="Times New Roman"/>
                <w:color w:val="000000"/>
                <w:sz w:val="20"/>
                <w:szCs w:val="20"/>
                <w:lang w:eastAsia="ru-RU"/>
              </w:rPr>
            </w:pPr>
            <w:r w:rsidRPr="00156E75">
              <w:rPr>
                <w:rFonts w:eastAsia="Times New Roman" w:cs="Times New Roman"/>
                <w:color w:val="000000"/>
                <w:sz w:val="20"/>
                <w:szCs w:val="20"/>
                <w:lang w:eastAsia="ru-RU"/>
              </w:rPr>
              <w:t>103,4</w:t>
            </w:r>
          </w:p>
        </w:tc>
        <w:tc>
          <w:tcPr>
            <w:tcW w:w="691" w:type="dxa"/>
            <w:tcBorders>
              <w:top w:val="nil"/>
              <w:left w:val="nil"/>
              <w:bottom w:val="nil"/>
              <w:right w:val="nil"/>
            </w:tcBorders>
            <w:shd w:val="clear" w:color="auto" w:fill="auto"/>
            <w:noWrap/>
            <w:vAlign w:val="bottom"/>
            <w:hideMark/>
          </w:tcPr>
          <w:p w:rsidR="00FA4411" w:rsidRPr="00156E75" w:rsidRDefault="00FA4411" w:rsidP="00156E75">
            <w:pPr>
              <w:spacing w:after="0" w:line="240" w:lineRule="auto"/>
              <w:jc w:val="right"/>
              <w:outlineLvl w:val="0"/>
              <w:rPr>
                <w:rFonts w:eastAsia="Times New Roman" w:cs="Times New Roman"/>
                <w:color w:val="000000"/>
                <w:sz w:val="20"/>
                <w:szCs w:val="20"/>
                <w:lang w:eastAsia="ru-RU"/>
              </w:rPr>
            </w:pPr>
            <w:r w:rsidRPr="00156E75">
              <w:rPr>
                <w:rFonts w:eastAsia="Times New Roman" w:cs="Times New Roman"/>
                <w:color w:val="000000"/>
                <w:sz w:val="20"/>
                <w:szCs w:val="20"/>
                <w:lang w:eastAsia="ru-RU"/>
              </w:rPr>
              <w:t>113,1</w:t>
            </w:r>
          </w:p>
        </w:tc>
        <w:tc>
          <w:tcPr>
            <w:tcW w:w="691" w:type="dxa"/>
            <w:tcBorders>
              <w:top w:val="nil"/>
              <w:left w:val="nil"/>
              <w:bottom w:val="nil"/>
              <w:right w:val="nil"/>
            </w:tcBorders>
            <w:shd w:val="clear" w:color="auto" w:fill="auto"/>
            <w:noWrap/>
            <w:vAlign w:val="bottom"/>
            <w:hideMark/>
          </w:tcPr>
          <w:p w:rsidR="00FA4411" w:rsidRPr="00156E75" w:rsidRDefault="00FA4411" w:rsidP="00156E75">
            <w:pPr>
              <w:spacing w:after="0" w:line="240" w:lineRule="auto"/>
              <w:jc w:val="right"/>
              <w:outlineLvl w:val="0"/>
              <w:rPr>
                <w:rFonts w:eastAsia="Times New Roman" w:cs="Times New Roman"/>
                <w:color w:val="000000"/>
                <w:sz w:val="20"/>
                <w:szCs w:val="20"/>
                <w:lang w:eastAsia="ru-RU"/>
              </w:rPr>
            </w:pPr>
            <w:r w:rsidRPr="00156E75">
              <w:rPr>
                <w:rFonts w:eastAsia="Times New Roman" w:cs="Times New Roman"/>
                <w:color w:val="000000"/>
                <w:sz w:val="20"/>
                <w:szCs w:val="20"/>
                <w:lang w:eastAsia="ru-RU"/>
              </w:rPr>
              <w:t>131,3</w:t>
            </w:r>
          </w:p>
        </w:tc>
        <w:tc>
          <w:tcPr>
            <w:tcW w:w="691" w:type="dxa"/>
            <w:tcBorders>
              <w:top w:val="nil"/>
              <w:left w:val="nil"/>
              <w:bottom w:val="nil"/>
              <w:right w:val="nil"/>
            </w:tcBorders>
            <w:shd w:val="clear" w:color="auto" w:fill="auto"/>
            <w:noWrap/>
            <w:vAlign w:val="bottom"/>
            <w:hideMark/>
          </w:tcPr>
          <w:p w:rsidR="00FA4411" w:rsidRPr="00156E75" w:rsidRDefault="00FA4411" w:rsidP="00156E75">
            <w:pPr>
              <w:spacing w:after="0" w:line="240" w:lineRule="auto"/>
              <w:jc w:val="right"/>
              <w:outlineLvl w:val="0"/>
              <w:rPr>
                <w:rFonts w:eastAsia="Times New Roman" w:cs="Times New Roman"/>
                <w:color w:val="000000"/>
                <w:sz w:val="20"/>
                <w:szCs w:val="20"/>
                <w:lang w:eastAsia="ru-RU"/>
              </w:rPr>
            </w:pPr>
            <w:r w:rsidRPr="00156E75">
              <w:rPr>
                <w:rFonts w:eastAsia="Times New Roman" w:cs="Times New Roman"/>
                <w:color w:val="000000"/>
                <w:sz w:val="20"/>
                <w:szCs w:val="20"/>
                <w:lang w:eastAsia="ru-RU"/>
              </w:rPr>
              <w:t>117,7</w:t>
            </w:r>
          </w:p>
        </w:tc>
        <w:tc>
          <w:tcPr>
            <w:tcW w:w="691" w:type="dxa"/>
            <w:tcBorders>
              <w:top w:val="nil"/>
              <w:left w:val="nil"/>
              <w:bottom w:val="nil"/>
              <w:right w:val="single" w:sz="8" w:space="0" w:color="auto"/>
            </w:tcBorders>
            <w:shd w:val="clear" w:color="auto" w:fill="auto"/>
            <w:noWrap/>
            <w:vAlign w:val="bottom"/>
            <w:hideMark/>
          </w:tcPr>
          <w:p w:rsidR="00FA4411" w:rsidRPr="00156E75" w:rsidRDefault="00FA4411" w:rsidP="00156E75">
            <w:pPr>
              <w:spacing w:after="0" w:line="240" w:lineRule="auto"/>
              <w:jc w:val="right"/>
              <w:outlineLvl w:val="0"/>
              <w:rPr>
                <w:rFonts w:eastAsia="Times New Roman" w:cs="Times New Roman"/>
                <w:color w:val="000000"/>
                <w:sz w:val="20"/>
                <w:szCs w:val="20"/>
                <w:lang w:eastAsia="ru-RU"/>
              </w:rPr>
            </w:pPr>
            <w:r w:rsidRPr="00156E75">
              <w:rPr>
                <w:rFonts w:eastAsia="Times New Roman" w:cs="Times New Roman"/>
                <w:color w:val="000000"/>
                <w:sz w:val="20"/>
                <w:szCs w:val="20"/>
                <w:lang w:eastAsia="ru-RU"/>
              </w:rPr>
              <w:t>106,6</w:t>
            </w:r>
          </w:p>
        </w:tc>
      </w:tr>
      <w:tr w:rsidR="00FA4411" w:rsidRPr="00156E75" w:rsidTr="00156E75">
        <w:trPr>
          <w:trHeight w:val="270"/>
          <w:jc w:val="center"/>
        </w:trPr>
        <w:tc>
          <w:tcPr>
            <w:tcW w:w="1809" w:type="dxa"/>
            <w:tcBorders>
              <w:top w:val="nil"/>
              <w:left w:val="single" w:sz="8" w:space="0" w:color="auto"/>
              <w:bottom w:val="nil"/>
              <w:right w:val="nil"/>
            </w:tcBorders>
            <w:shd w:val="clear" w:color="auto" w:fill="auto"/>
            <w:noWrap/>
            <w:vAlign w:val="bottom"/>
            <w:hideMark/>
          </w:tcPr>
          <w:p w:rsidR="00FA4411" w:rsidRPr="00156E75" w:rsidRDefault="00FA4411" w:rsidP="00156E75">
            <w:pPr>
              <w:spacing w:after="0" w:line="240" w:lineRule="auto"/>
              <w:outlineLvl w:val="0"/>
              <w:rPr>
                <w:rFonts w:eastAsia="Times New Roman" w:cs="Times New Roman"/>
                <w:color w:val="000000"/>
                <w:sz w:val="20"/>
                <w:szCs w:val="20"/>
                <w:lang w:eastAsia="ru-RU"/>
              </w:rPr>
            </w:pPr>
            <w:r w:rsidRPr="00156E75">
              <w:rPr>
                <w:rFonts w:eastAsia="Times New Roman" w:cs="Times New Roman"/>
                <w:color w:val="000000"/>
                <w:sz w:val="20"/>
                <w:szCs w:val="20"/>
                <w:lang w:eastAsia="ru-RU"/>
              </w:rPr>
              <w:t> </w:t>
            </w:r>
          </w:p>
        </w:tc>
        <w:tc>
          <w:tcPr>
            <w:tcW w:w="1532" w:type="dxa"/>
            <w:tcBorders>
              <w:top w:val="nil"/>
              <w:left w:val="nil"/>
              <w:bottom w:val="nil"/>
              <w:right w:val="nil"/>
            </w:tcBorders>
            <w:shd w:val="clear" w:color="auto" w:fill="auto"/>
            <w:vAlign w:val="bottom"/>
            <w:hideMark/>
          </w:tcPr>
          <w:p w:rsidR="00FA4411" w:rsidRPr="00156E75" w:rsidRDefault="00FA4411" w:rsidP="00156E75">
            <w:pPr>
              <w:spacing w:after="0" w:line="240" w:lineRule="auto"/>
              <w:outlineLvl w:val="0"/>
              <w:rPr>
                <w:rFonts w:eastAsia="Times New Roman" w:cs="Times New Roman"/>
                <w:color w:val="000000"/>
                <w:sz w:val="20"/>
                <w:szCs w:val="20"/>
                <w:lang w:eastAsia="ru-RU"/>
              </w:rPr>
            </w:pPr>
            <w:r w:rsidRPr="00156E75">
              <w:rPr>
                <w:rFonts w:eastAsia="Times New Roman" w:cs="Times New Roman"/>
                <w:color w:val="000000"/>
                <w:sz w:val="20"/>
                <w:szCs w:val="20"/>
                <w:lang w:eastAsia="ru-RU"/>
              </w:rPr>
              <w:t>Прочая продукция</w:t>
            </w:r>
          </w:p>
        </w:tc>
        <w:tc>
          <w:tcPr>
            <w:tcW w:w="691" w:type="dxa"/>
            <w:tcBorders>
              <w:top w:val="nil"/>
              <w:left w:val="nil"/>
              <w:bottom w:val="nil"/>
              <w:right w:val="nil"/>
            </w:tcBorders>
            <w:shd w:val="clear" w:color="auto" w:fill="auto"/>
            <w:noWrap/>
            <w:vAlign w:val="bottom"/>
            <w:hideMark/>
          </w:tcPr>
          <w:p w:rsidR="00FA4411" w:rsidRPr="00156E75" w:rsidRDefault="00FA4411" w:rsidP="00156E75">
            <w:pPr>
              <w:spacing w:after="0" w:line="240" w:lineRule="auto"/>
              <w:jc w:val="right"/>
              <w:outlineLvl w:val="0"/>
              <w:rPr>
                <w:rFonts w:eastAsia="Times New Roman" w:cs="Times New Roman"/>
                <w:color w:val="000000"/>
                <w:sz w:val="20"/>
                <w:szCs w:val="20"/>
                <w:lang w:eastAsia="ru-RU"/>
              </w:rPr>
            </w:pPr>
            <w:r w:rsidRPr="00156E75">
              <w:rPr>
                <w:rFonts w:eastAsia="Times New Roman" w:cs="Times New Roman"/>
                <w:color w:val="000000"/>
                <w:sz w:val="20"/>
                <w:szCs w:val="20"/>
                <w:lang w:eastAsia="ru-RU"/>
              </w:rPr>
              <w:t>103,6</w:t>
            </w:r>
          </w:p>
        </w:tc>
        <w:tc>
          <w:tcPr>
            <w:tcW w:w="691" w:type="dxa"/>
            <w:tcBorders>
              <w:top w:val="nil"/>
              <w:left w:val="nil"/>
              <w:bottom w:val="nil"/>
              <w:right w:val="nil"/>
            </w:tcBorders>
            <w:shd w:val="clear" w:color="auto" w:fill="auto"/>
            <w:noWrap/>
            <w:vAlign w:val="bottom"/>
            <w:hideMark/>
          </w:tcPr>
          <w:p w:rsidR="00FA4411" w:rsidRPr="00156E75" w:rsidRDefault="00FA4411" w:rsidP="00156E75">
            <w:pPr>
              <w:spacing w:after="0" w:line="240" w:lineRule="auto"/>
              <w:jc w:val="right"/>
              <w:outlineLvl w:val="0"/>
              <w:rPr>
                <w:rFonts w:eastAsia="Times New Roman" w:cs="Times New Roman"/>
                <w:color w:val="000000"/>
                <w:sz w:val="20"/>
                <w:szCs w:val="20"/>
                <w:lang w:eastAsia="ru-RU"/>
              </w:rPr>
            </w:pPr>
            <w:r w:rsidRPr="00156E75">
              <w:rPr>
                <w:rFonts w:eastAsia="Times New Roman" w:cs="Times New Roman"/>
                <w:color w:val="000000"/>
                <w:sz w:val="20"/>
                <w:szCs w:val="20"/>
                <w:lang w:eastAsia="ru-RU"/>
              </w:rPr>
              <w:t>111,9</w:t>
            </w:r>
          </w:p>
        </w:tc>
        <w:tc>
          <w:tcPr>
            <w:tcW w:w="691" w:type="dxa"/>
            <w:tcBorders>
              <w:top w:val="nil"/>
              <w:left w:val="nil"/>
              <w:bottom w:val="nil"/>
              <w:right w:val="nil"/>
            </w:tcBorders>
            <w:shd w:val="clear" w:color="auto" w:fill="auto"/>
            <w:noWrap/>
            <w:vAlign w:val="bottom"/>
            <w:hideMark/>
          </w:tcPr>
          <w:p w:rsidR="00FA4411" w:rsidRPr="00156E75" w:rsidRDefault="00FA4411" w:rsidP="00156E75">
            <w:pPr>
              <w:spacing w:after="0" w:line="240" w:lineRule="auto"/>
              <w:jc w:val="right"/>
              <w:outlineLvl w:val="0"/>
              <w:rPr>
                <w:rFonts w:eastAsia="Times New Roman" w:cs="Times New Roman"/>
                <w:color w:val="000000"/>
                <w:sz w:val="20"/>
                <w:szCs w:val="20"/>
                <w:lang w:eastAsia="ru-RU"/>
              </w:rPr>
            </w:pPr>
            <w:r w:rsidRPr="00156E75">
              <w:rPr>
                <w:rFonts w:eastAsia="Times New Roman" w:cs="Times New Roman"/>
                <w:color w:val="000000"/>
                <w:sz w:val="20"/>
                <w:szCs w:val="20"/>
                <w:lang w:eastAsia="ru-RU"/>
              </w:rPr>
              <w:t>105,4</w:t>
            </w:r>
          </w:p>
        </w:tc>
        <w:tc>
          <w:tcPr>
            <w:tcW w:w="691" w:type="dxa"/>
            <w:tcBorders>
              <w:top w:val="nil"/>
              <w:left w:val="nil"/>
              <w:bottom w:val="nil"/>
              <w:right w:val="nil"/>
            </w:tcBorders>
            <w:shd w:val="clear" w:color="auto" w:fill="auto"/>
            <w:noWrap/>
            <w:vAlign w:val="bottom"/>
            <w:hideMark/>
          </w:tcPr>
          <w:p w:rsidR="00FA4411" w:rsidRPr="00156E75" w:rsidRDefault="00FA4411" w:rsidP="00156E75">
            <w:pPr>
              <w:spacing w:after="0" w:line="240" w:lineRule="auto"/>
              <w:jc w:val="right"/>
              <w:outlineLvl w:val="0"/>
              <w:rPr>
                <w:rFonts w:eastAsia="Times New Roman" w:cs="Times New Roman"/>
                <w:color w:val="000000"/>
                <w:sz w:val="20"/>
                <w:szCs w:val="20"/>
                <w:lang w:eastAsia="ru-RU"/>
              </w:rPr>
            </w:pPr>
            <w:r w:rsidRPr="00156E75">
              <w:rPr>
                <w:rFonts w:eastAsia="Times New Roman" w:cs="Times New Roman"/>
                <w:color w:val="000000"/>
                <w:sz w:val="20"/>
                <w:szCs w:val="20"/>
                <w:lang w:eastAsia="ru-RU"/>
              </w:rPr>
              <w:t>104,2</w:t>
            </w:r>
          </w:p>
        </w:tc>
        <w:tc>
          <w:tcPr>
            <w:tcW w:w="691" w:type="dxa"/>
            <w:tcBorders>
              <w:top w:val="nil"/>
              <w:left w:val="nil"/>
              <w:bottom w:val="nil"/>
              <w:right w:val="nil"/>
            </w:tcBorders>
            <w:shd w:val="clear" w:color="auto" w:fill="auto"/>
            <w:noWrap/>
            <w:vAlign w:val="bottom"/>
            <w:hideMark/>
          </w:tcPr>
          <w:p w:rsidR="00FA4411" w:rsidRPr="00156E75" w:rsidRDefault="00FA4411" w:rsidP="00156E75">
            <w:pPr>
              <w:spacing w:after="0" w:line="240" w:lineRule="auto"/>
              <w:jc w:val="right"/>
              <w:outlineLvl w:val="0"/>
              <w:rPr>
                <w:rFonts w:eastAsia="Times New Roman" w:cs="Times New Roman"/>
                <w:color w:val="000000"/>
                <w:sz w:val="20"/>
                <w:szCs w:val="20"/>
                <w:lang w:eastAsia="ru-RU"/>
              </w:rPr>
            </w:pPr>
            <w:r w:rsidRPr="00156E75">
              <w:rPr>
                <w:rFonts w:eastAsia="Times New Roman" w:cs="Times New Roman"/>
                <w:color w:val="000000"/>
                <w:sz w:val="20"/>
                <w:szCs w:val="20"/>
                <w:lang w:eastAsia="ru-RU"/>
              </w:rPr>
              <w:t>106,1</w:t>
            </w:r>
          </w:p>
        </w:tc>
        <w:tc>
          <w:tcPr>
            <w:tcW w:w="691" w:type="dxa"/>
            <w:tcBorders>
              <w:top w:val="nil"/>
              <w:left w:val="nil"/>
              <w:bottom w:val="nil"/>
              <w:right w:val="nil"/>
            </w:tcBorders>
            <w:shd w:val="clear" w:color="auto" w:fill="auto"/>
            <w:noWrap/>
            <w:vAlign w:val="bottom"/>
            <w:hideMark/>
          </w:tcPr>
          <w:p w:rsidR="00FA4411" w:rsidRPr="00156E75" w:rsidRDefault="00FA4411" w:rsidP="00156E75">
            <w:pPr>
              <w:spacing w:after="0" w:line="240" w:lineRule="auto"/>
              <w:jc w:val="right"/>
              <w:outlineLvl w:val="0"/>
              <w:rPr>
                <w:rFonts w:eastAsia="Times New Roman" w:cs="Times New Roman"/>
                <w:color w:val="000000"/>
                <w:sz w:val="20"/>
                <w:szCs w:val="20"/>
                <w:lang w:eastAsia="ru-RU"/>
              </w:rPr>
            </w:pPr>
            <w:r w:rsidRPr="00156E75">
              <w:rPr>
                <w:rFonts w:eastAsia="Times New Roman" w:cs="Times New Roman"/>
                <w:color w:val="000000"/>
                <w:sz w:val="20"/>
                <w:szCs w:val="20"/>
                <w:lang w:eastAsia="ru-RU"/>
              </w:rPr>
              <w:t>108,5</w:t>
            </w:r>
          </w:p>
        </w:tc>
        <w:tc>
          <w:tcPr>
            <w:tcW w:w="691" w:type="dxa"/>
            <w:tcBorders>
              <w:top w:val="nil"/>
              <w:left w:val="nil"/>
              <w:bottom w:val="nil"/>
              <w:right w:val="nil"/>
            </w:tcBorders>
            <w:shd w:val="clear" w:color="auto" w:fill="auto"/>
            <w:noWrap/>
            <w:vAlign w:val="bottom"/>
            <w:hideMark/>
          </w:tcPr>
          <w:p w:rsidR="00FA4411" w:rsidRPr="00156E75" w:rsidRDefault="00FA4411" w:rsidP="00156E75">
            <w:pPr>
              <w:spacing w:after="0" w:line="240" w:lineRule="auto"/>
              <w:jc w:val="right"/>
              <w:outlineLvl w:val="0"/>
              <w:rPr>
                <w:rFonts w:eastAsia="Times New Roman" w:cs="Times New Roman"/>
                <w:color w:val="000000"/>
                <w:sz w:val="20"/>
                <w:szCs w:val="20"/>
                <w:lang w:eastAsia="ru-RU"/>
              </w:rPr>
            </w:pPr>
            <w:r w:rsidRPr="00156E75">
              <w:rPr>
                <w:rFonts w:eastAsia="Times New Roman" w:cs="Times New Roman"/>
                <w:color w:val="000000"/>
                <w:sz w:val="20"/>
                <w:szCs w:val="20"/>
                <w:lang w:eastAsia="ru-RU"/>
              </w:rPr>
              <w:t>110,1</w:t>
            </w:r>
          </w:p>
        </w:tc>
        <w:tc>
          <w:tcPr>
            <w:tcW w:w="691" w:type="dxa"/>
            <w:tcBorders>
              <w:top w:val="nil"/>
              <w:left w:val="nil"/>
              <w:bottom w:val="nil"/>
              <w:right w:val="single" w:sz="8" w:space="0" w:color="auto"/>
            </w:tcBorders>
            <w:shd w:val="clear" w:color="auto" w:fill="auto"/>
            <w:noWrap/>
            <w:vAlign w:val="bottom"/>
            <w:hideMark/>
          </w:tcPr>
          <w:p w:rsidR="00FA4411" w:rsidRPr="00156E75" w:rsidRDefault="00FA4411" w:rsidP="00156E75">
            <w:pPr>
              <w:spacing w:after="0" w:line="240" w:lineRule="auto"/>
              <w:jc w:val="right"/>
              <w:outlineLvl w:val="0"/>
              <w:rPr>
                <w:rFonts w:eastAsia="Times New Roman" w:cs="Times New Roman"/>
                <w:color w:val="000000"/>
                <w:sz w:val="20"/>
                <w:szCs w:val="20"/>
                <w:lang w:eastAsia="ru-RU"/>
              </w:rPr>
            </w:pPr>
            <w:r w:rsidRPr="00156E75">
              <w:rPr>
                <w:rFonts w:eastAsia="Times New Roman" w:cs="Times New Roman"/>
                <w:color w:val="000000"/>
                <w:sz w:val="20"/>
                <w:szCs w:val="20"/>
                <w:lang w:eastAsia="ru-RU"/>
              </w:rPr>
              <w:t>105</w:t>
            </w:r>
          </w:p>
        </w:tc>
      </w:tr>
      <w:tr w:rsidR="00FA4411" w:rsidRPr="00156E75" w:rsidTr="00156E75">
        <w:trPr>
          <w:trHeight w:val="780"/>
          <w:jc w:val="center"/>
        </w:trPr>
        <w:tc>
          <w:tcPr>
            <w:tcW w:w="1809" w:type="dxa"/>
            <w:tcBorders>
              <w:top w:val="nil"/>
              <w:left w:val="single" w:sz="8" w:space="0" w:color="auto"/>
              <w:bottom w:val="nil"/>
              <w:right w:val="nil"/>
            </w:tcBorders>
            <w:shd w:val="clear" w:color="auto" w:fill="auto"/>
            <w:noWrap/>
            <w:vAlign w:val="bottom"/>
            <w:hideMark/>
          </w:tcPr>
          <w:p w:rsidR="00FA4411" w:rsidRPr="00156E75" w:rsidRDefault="00FA4411" w:rsidP="00156E75">
            <w:pPr>
              <w:spacing w:after="0" w:line="240" w:lineRule="auto"/>
              <w:outlineLvl w:val="0"/>
              <w:rPr>
                <w:rFonts w:eastAsia="Times New Roman" w:cs="Times New Roman"/>
                <w:color w:val="000000"/>
                <w:sz w:val="20"/>
                <w:szCs w:val="20"/>
                <w:lang w:eastAsia="ru-RU"/>
              </w:rPr>
            </w:pPr>
            <w:r w:rsidRPr="00156E75">
              <w:rPr>
                <w:rFonts w:eastAsia="Times New Roman" w:cs="Times New Roman"/>
                <w:color w:val="000000"/>
                <w:sz w:val="20"/>
                <w:szCs w:val="20"/>
                <w:lang w:eastAsia="ru-RU"/>
              </w:rPr>
              <w:t> </w:t>
            </w:r>
          </w:p>
        </w:tc>
        <w:tc>
          <w:tcPr>
            <w:tcW w:w="1532" w:type="dxa"/>
            <w:tcBorders>
              <w:top w:val="nil"/>
              <w:left w:val="nil"/>
              <w:bottom w:val="nil"/>
              <w:right w:val="nil"/>
            </w:tcBorders>
            <w:shd w:val="clear" w:color="auto" w:fill="auto"/>
            <w:vAlign w:val="bottom"/>
            <w:hideMark/>
          </w:tcPr>
          <w:p w:rsidR="00FA4411" w:rsidRPr="00156E75" w:rsidRDefault="00FA4411" w:rsidP="00156E75">
            <w:pPr>
              <w:spacing w:after="0" w:line="240" w:lineRule="auto"/>
              <w:outlineLvl w:val="0"/>
              <w:rPr>
                <w:rFonts w:eastAsia="Times New Roman" w:cs="Times New Roman"/>
                <w:color w:val="000000"/>
                <w:sz w:val="20"/>
                <w:szCs w:val="20"/>
                <w:lang w:eastAsia="ru-RU"/>
              </w:rPr>
            </w:pPr>
            <w:r w:rsidRPr="00156E75">
              <w:rPr>
                <w:rFonts w:eastAsia="Times New Roman" w:cs="Times New Roman"/>
                <w:color w:val="000000"/>
                <w:sz w:val="20"/>
                <w:szCs w:val="20"/>
                <w:lang w:eastAsia="ru-RU"/>
              </w:rPr>
              <w:t>Лечебное оборудование и аппараты</w:t>
            </w:r>
          </w:p>
        </w:tc>
        <w:tc>
          <w:tcPr>
            <w:tcW w:w="691" w:type="dxa"/>
            <w:tcBorders>
              <w:top w:val="nil"/>
              <w:left w:val="nil"/>
              <w:bottom w:val="nil"/>
              <w:right w:val="nil"/>
            </w:tcBorders>
            <w:shd w:val="clear" w:color="auto" w:fill="auto"/>
            <w:noWrap/>
            <w:vAlign w:val="bottom"/>
            <w:hideMark/>
          </w:tcPr>
          <w:p w:rsidR="00FA4411" w:rsidRPr="00156E75" w:rsidRDefault="00FA4411" w:rsidP="00156E75">
            <w:pPr>
              <w:spacing w:after="0" w:line="240" w:lineRule="auto"/>
              <w:jc w:val="right"/>
              <w:outlineLvl w:val="0"/>
              <w:rPr>
                <w:rFonts w:eastAsia="Times New Roman" w:cs="Times New Roman"/>
                <w:color w:val="000000"/>
                <w:sz w:val="20"/>
                <w:szCs w:val="20"/>
                <w:lang w:eastAsia="ru-RU"/>
              </w:rPr>
            </w:pPr>
            <w:r w:rsidRPr="00156E75">
              <w:rPr>
                <w:rFonts w:eastAsia="Times New Roman" w:cs="Times New Roman"/>
                <w:color w:val="000000"/>
                <w:sz w:val="20"/>
                <w:szCs w:val="20"/>
                <w:lang w:eastAsia="ru-RU"/>
              </w:rPr>
              <w:t>103,3</w:t>
            </w:r>
          </w:p>
        </w:tc>
        <w:tc>
          <w:tcPr>
            <w:tcW w:w="691" w:type="dxa"/>
            <w:tcBorders>
              <w:top w:val="nil"/>
              <w:left w:val="nil"/>
              <w:bottom w:val="nil"/>
              <w:right w:val="nil"/>
            </w:tcBorders>
            <w:shd w:val="clear" w:color="auto" w:fill="auto"/>
            <w:noWrap/>
            <w:vAlign w:val="bottom"/>
            <w:hideMark/>
          </w:tcPr>
          <w:p w:rsidR="00FA4411" w:rsidRPr="00156E75" w:rsidRDefault="00FA4411" w:rsidP="00156E75">
            <w:pPr>
              <w:spacing w:after="0" w:line="240" w:lineRule="auto"/>
              <w:jc w:val="right"/>
              <w:outlineLvl w:val="0"/>
              <w:rPr>
                <w:rFonts w:eastAsia="Times New Roman" w:cs="Times New Roman"/>
                <w:color w:val="000000"/>
                <w:sz w:val="20"/>
                <w:szCs w:val="20"/>
                <w:lang w:eastAsia="ru-RU"/>
              </w:rPr>
            </w:pPr>
            <w:r w:rsidRPr="00156E75">
              <w:rPr>
                <w:rFonts w:eastAsia="Times New Roman" w:cs="Times New Roman"/>
                <w:color w:val="000000"/>
                <w:sz w:val="20"/>
                <w:szCs w:val="20"/>
                <w:lang w:eastAsia="ru-RU"/>
              </w:rPr>
              <w:t>103,8</w:t>
            </w:r>
          </w:p>
        </w:tc>
        <w:tc>
          <w:tcPr>
            <w:tcW w:w="691" w:type="dxa"/>
            <w:tcBorders>
              <w:top w:val="nil"/>
              <w:left w:val="nil"/>
              <w:bottom w:val="nil"/>
              <w:right w:val="nil"/>
            </w:tcBorders>
            <w:shd w:val="clear" w:color="auto" w:fill="auto"/>
            <w:noWrap/>
            <w:vAlign w:val="bottom"/>
            <w:hideMark/>
          </w:tcPr>
          <w:p w:rsidR="00FA4411" w:rsidRPr="00156E75" w:rsidRDefault="00FA4411" w:rsidP="00156E75">
            <w:pPr>
              <w:spacing w:after="0" w:line="240" w:lineRule="auto"/>
              <w:jc w:val="right"/>
              <w:outlineLvl w:val="0"/>
              <w:rPr>
                <w:rFonts w:eastAsia="Times New Roman" w:cs="Times New Roman"/>
                <w:color w:val="000000"/>
                <w:sz w:val="20"/>
                <w:szCs w:val="20"/>
                <w:lang w:eastAsia="ru-RU"/>
              </w:rPr>
            </w:pPr>
            <w:r w:rsidRPr="00156E75">
              <w:rPr>
                <w:rFonts w:eastAsia="Times New Roman" w:cs="Times New Roman"/>
                <w:color w:val="000000"/>
                <w:sz w:val="20"/>
                <w:szCs w:val="20"/>
                <w:lang w:eastAsia="ru-RU"/>
              </w:rPr>
              <w:t>102,6</w:t>
            </w:r>
          </w:p>
        </w:tc>
        <w:tc>
          <w:tcPr>
            <w:tcW w:w="691" w:type="dxa"/>
            <w:tcBorders>
              <w:top w:val="nil"/>
              <w:left w:val="nil"/>
              <w:bottom w:val="nil"/>
              <w:right w:val="nil"/>
            </w:tcBorders>
            <w:shd w:val="clear" w:color="auto" w:fill="auto"/>
            <w:noWrap/>
            <w:vAlign w:val="bottom"/>
            <w:hideMark/>
          </w:tcPr>
          <w:p w:rsidR="00FA4411" w:rsidRPr="00156E75" w:rsidRDefault="00FA4411" w:rsidP="00156E75">
            <w:pPr>
              <w:spacing w:after="0" w:line="240" w:lineRule="auto"/>
              <w:jc w:val="right"/>
              <w:outlineLvl w:val="0"/>
              <w:rPr>
                <w:rFonts w:eastAsia="Times New Roman" w:cs="Times New Roman"/>
                <w:color w:val="000000"/>
                <w:sz w:val="20"/>
                <w:szCs w:val="20"/>
                <w:lang w:eastAsia="ru-RU"/>
              </w:rPr>
            </w:pPr>
            <w:r w:rsidRPr="00156E75">
              <w:rPr>
                <w:rFonts w:eastAsia="Times New Roman" w:cs="Times New Roman"/>
                <w:color w:val="000000"/>
                <w:sz w:val="20"/>
                <w:szCs w:val="20"/>
                <w:lang w:eastAsia="ru-RU"/>
              </w:rPr>
              <w:t>102,4</w:t>
            </w:r>
          </w:p>
        </w:tc>
        <w:tc>
          <w:tcPr>
            <w:tcW w:w="691" w:type="dxa"/>
            <w:tcBorders>
              <w:top w:val="nil"/>
              <w:left w:val="nil"/>
              <w:bottom w:val="nil"/>
              <w:right w:val="nil"/>
            </w:tcBorders>
            <w:shd w:val="clear" w:color="auto" w:fill="auto"/>
            <w:noWrap/>
            <w:vAlign w:val="bottom"/>
            <w:hideMark/>
          </w:tcPr>
          <w:p w:rsidR="00FA4411" w:rsidRPr="00156E75" w:rsidRDefault="00FA4411" w:rsidP="00156E75">
            <w:pPr>
              <w:spacing w:after="0" w:line="240" w:lineRule="auto"/>
              <w:jc w:val="right"/>
              <w:outlineLvl w:val="0"/>
              <w:rPr>
                <w:rFonts w:eastAsia="Times New Roman" w:cs="Times New Roman"/>
                <w:color w:val="000000"/>
                <w:sz w:val="20"/>
                <w:szCs w:val="20"/>
                <w:lang w:eastAsia="ru-RU"/>
              </w:rPr>
            </w:pPr>
            <w:r w:rsidRPr="00156E75">
              <w:rPr>
                <w:rFonts w:eastAsia="Times New Roman" w:cs="Times New Roman"/>
                <w:color w:val="000000"/>
                <w:sz w:val="20"/>
                <w:szCs w:val="20"/>
                <w:lang w:eastAsia="ru-RU"/>
              </w:rPr>
              <w:t>105,9</w:t>
            </w:r>
          </w:p>
        </w:tc>
        <w:tc>
          <w:tcPr>
            <w:tcW w:w="691" w:type="dxa"/>
            <w:tcBorders>
              <w:top w:val="nil"/>
              <w:left w:val="nil"/>
              <w:bottom w:val="nil"/>
              <w:right w:val="nil"/>
            </w:tcBorders>
            <w:shd w:val="clear" w:color="auto" w:fill="auto"/>
            <w:noWrap/>
            <w:vAlign w:val="bottom"/>
            <w:hideMark/>
          </w:tcPr>
          <w:p w:rsidR="00FA4411" w:rsidRPr="00156E75" w:rsidRDefault="00FA4411" w:rsidP="00156E75">
            <w:pPr>
              <w:spacing w:after="0" w:line="240" w:lineRule="auto"/>
              <w:jc w:val="right"/>
              <w:outlineLvl w:val="0"/>
              <w:rPr>
                <w:rFonts w:eastAsia="Times New Roman" w:cs="Times New Roman"/>
                <w:color w:val="000000"/>
                <w:sz w:val="20"/>
                <w:szCs w:val="20"/>
                <w:lang w:eastAsia="ru-RU"/>
              </w:rPr>
            </w:pPr>
            <w:r w:rsidRPr="00156E75">
              <w:rPr>
                <w:rFonts w:eastAsia="Times New Roman" w:cs="Times New Roman"/>
                <w:color w:val="000000"/>
                <w:sz w:val="20"/>
                <w:szCs w:val="20"/>
                <w:lang w:eastAsia="ru-RU"/>
              </w:rPr>
              <w:t>126,4</w:t>
            </w:r>
          </w:p>
        </w:tc>
        <w:tc>
          <w:tcPr>
            <w:tcW w:w="691" w:type="dxa"/>
            <w:tcBorders>
              <w:top w:val="nil"/>
              <w:left w:val="nil"/>
              <w:bottom w:val="nil"/>
              <w:right w:val="nil"/>
            </w:tcBorders>
            <w:shd w:val="clear" w:color="auto" w:fill="auto"/>
            <w:noWrap/>
            <w:vAlign w:val="bottom"/>
            <w:hideMark/>
          </w:tcPr>
          <w:p w:rsidR="00FA4411" w:rsidRPr="00156E75" w:rsidRDefault="00FA4411" w:rsidP="00156E75">
            <w:pPr>
              <w:spacing w:after="0" w:line="240" w:lineRule="auto"/>
              <w:jc w:val="right"/>
              <w:outlineLvl w:val="0"/>
              <w:rPr>
                <w:rFonts w:eastAsia="Times New Roman" w:cs="Times New Roman"/>
                <w:color w:val="000000"/>
                <w:sz w:val="20"/>
                <w:szCs w:val="20"/>
                <w:lang w:eastAsia="ru-RU"/>
              </w:rPr>
            </w:pPr>
            <w:r w:rsidRPr="00156E75">
              <w:rPr>
                <w:rFonts w:eastAsia="Times New Roman" w:cs="Times New Roman"/>
                <w:color w:val="000000"/>
                <w:sz w:val="20"/>
                <w:szCs w:val="20"/>
                <w:lang w:eastAsia="ru-RU"/>
              </w:rPr>
              <w:t>111,4</w:t>
            </w:r>
          </w:p>
        </w:tc>
        <w:tc>
          <w:tcPr>
            <w:tcW w:w="691" w:type="dxa"/>
            <w:tcBorders>
              <w:top w:val="nil"/>
              <w:left w:val="nil"/>
              <w:bottom w:val="nil"/>
              <w:right w:val="single" w:sz="8" w:space="0" w:color="auto"/>
            </w:tcBorders>
            <w:shd w:val="clear" w:color="auto" w:fill="auto"/>
            <w:noWrap/>
            <w:vAlign w:val="bottom"/>
            <w:hideMark/>
          </w:tcPr>
          <w:p w:rsidR="00FA4411" w:rsidRPr="00156E75" w:rsidRDefault="00FA4411" w:rsidP="00156E75">
            <w:pPr>
              <w:spacing w:after="0" w:line="240" w:lineRule="auto"/>
              <w:jc w:val="right"/>
              <w:outlineLvl w:val="0"/>
              <w:rPr>
                <w:rFonts w:eastAsia="Times New Roman" w:cs="Times New Roman"/>
                <w:color w:val="000000"/>
                <w:sz w:val="20"/>
                <w:szCs w:val="20"/>
                <w:lang w:eastAsia="ru-RU"/>
              </w:rPr>
            </w:pPr>
            <w:r w:rsidRPr="00156E75">
              <w:rPr>
                <w:rFonts w:eastAsia="Times New Roman" w:cs="Times New Roman"/>
                <w:color w:val="000000"/>
                <w:sz w:val="20"/>
                <w:szCs w:val="20"/>
                <w:lang w:eastAsia="ru-RU"/>
              </w:rPr>
              <w:t>104,9</w:t>
            </w:r>
          </w:p>
        </w:tc>
      </w:tr>
      <w:tr w:rsidR="00FA4411" w:rsidRPr="00156E75" w:rsidTr="00156E75">
        <w:trPr>
          <w:trHeight w:val="270"/>
          <w:jc w:val="center"/>
        </w:trPr>
        <w:tc>
          <w:tcPr>
            <w:tcW w:w="1809" w:type="dxa"/>
            <w:tcBorders>
              <w:top w:val="nil"/>
              <w:left w:val="single" w:sz="8" w:space="0" w:color="auto"/>
              <w:bottom w:val="nil"/>
              <w:right w:val="nil"/>
            </w:tcBorders>
            <w:shd w:val="clear" w:color="auto" w:fill="auto"/>
            <w:noWrap/>
            <w:vAlign w:val="bottom"/>
            <w:hideMark/>
          </w:tcPr>
          <w:p w:rsidR="00FA4411" w:rsidRPr="00156E75" w:rsidRDefault="00FA4411" w:rsidP="00156E75">
            <w:pPr>
              <w:spacing w:after="0" w:line="240" w:lineRule="auto"/>
              <w:rPr>
                <w:rFonts w:eastAsia="Times New Roman" w:cs="Times New Roman"/>
                <w:b/>
                <w:bCs/>
                <w:color w:val="000000"/>
                <w:sz w:val="20"/>
                <w:szCs w:val="20"/>
                <w:lang w:eastAsia="ru-RU"/>
              </w:rPr>
            </w:pPr>
            <w:r w:rsidRPr="00156E75">
              <w:rPr>
                <w:rFonts w:eastAsia="Times New Roman" w:cs="Times New Roman"/>
                <w:b/>
                <w:bCs/>
                <w:color w:val="000000"/>
                <w:sz w:val="20"/>
                <w:szCs w:val="20"/>
                <w:lang w:eastAsia="ru-RU"/>
              </w:rPr>
              <w:t>Амбулаторные услуги</w:t>
            </w:r>
          </w:p>
        </w:tc>
        <w:tc>
          <w:tcPr>
            <w:tcW w:w="1532" w:type="dxa"/>
            <w:tcBorders>
              <w:top w:val="nil"/>
              <w:left w:val="nil"/>
              <w:bottom w:val="nil"/>
              <w:right w:val="nil"/>
            </w:tcBorders>
            <w:shd w:val="clear" w:color="auto" w:fill="auto"/>
            <w:noWrap/>
            <w:vAlign w:val="bottom"/>
            <w:hideMark/>
          </w:tcPr>
          <w:p w:rsidR="00FA4411" w:rsidRPr="00156E75" w:rsidRDefault="00FA4411" w:rsidP="00156E75">
            <w:pPr>
              <w:spacing w:after="0" w:line="240" w:lineRule="auto"/>
              <w:rPr>
                <w:rFonts w:eastAsia="Times New Roman" w:cs="Times New Roman"/>
                <w:b/>
                <w:bCs/>
                <w:color w:val="000000"/>
                <w:sz w:val="20"/>
                <w:szCs w:val="20"/>
                <w:lang w:eastAsia="ru-RU"/>
              </w:rPr>
            </w:pPr>
          </w:p>
        </w:tc>
        <w:tc>
          <w:tcPr>
            <w:tcW w:w="691" w:type="dxa"/>
            <w:tcBorders>
              <w:top w:val="nil"/>
              <w:left w:val="nil"/>
              <w:bottom w:val="nil"/>
              <w:right w:val="nil"/>
            </w:tcBorders>
            <w:shd w:val="clear" w:color="auto" w:fill="auto"/>
            <w:noWrap/>
            <w:vAlign w:val="bottom"/>
            <w:hideMark/>
          </w:tcPr>
          <w:p w:rsidR="00FA4411" w:rsidRPr="00156E75" w:rsidRDefault="00FA4411" w:rsidP="00156E75">
            <w:pPr>
              <w:spacing w:after="0" w:line="240" w:lineRule="auto"/>
              <w:jc w:val="right"/>
              <w:rPr>
                <w:rFonts w:eastAsia="Times New Roman" w:cs="Times New Roman"/>
                <w:color w:val="000000"/>
                <w:sz w:val="20"/>
                <w:szCs w:val="20"/>
                <w:lang w:eastAsia="ru-RU"/>
              </w:rPr>
            </w:pPr>
            <w:r w:rsidRPr="00156E75">
              <w:rPr>
                <w:rFonts w:eastAsia="Times New Roman" w:cs="Times New Roman"/>
                <w:color w:val="000000"/>
                <w:sz w:val="20"/>
                <w:szCs w:val="20"/>
                <w:lang w:eastAsia="ru-RU"/>
              </w:rPr>
              <w:t>109,8</w:t>
            </w:r>
          </w:p>
        </w:tc>
        <w:tc>
          <w:tcPr>
            <w:tcW w:w="691" w:type="dxa"/>
            <w:tcBorders>
              <w:top w:val="nil"/>
              <w:left w:val="nil"/>
              <w:bottom w:val="nil"/>
              <w:right w:val="nil"/>
            </w:tcBorders>
            <w:shd w:val="clear" w:color="auto" w:fill="auto"/>
            <w:noWrap/>
            <w:vAlign w:val="bottom"/>
            <w:hideMark/>
          </w:tcPr>
          <w:p w:rsidR="00FA4411" w:rsidRPr="00156E75" w:rsidRDefault="00FA4411" w:rsidP="00156E75">
            <w:pPr>
              <w:spacing w:after="0" w:line="240" w:lineRule="auto"/>
              <w:jc w:val="right"/>
              <w:rPr>
                <w:rFonts w:eastAsia="Times New Roman" w:cs="Times New Roman"/>
                <w:color w:val="000000"/>
                <w:sz w:val="20"/>
                <w:szCs w:val="20"/>
                <w:lang w:eastAsia="ru-RU"/>
              </w:rPr>
            </w:pPr>
            <w:r w:rsidRPr="00156E75">
              <w:rPr>
                <w:rFonts w:eastAsia="Times New Roman" w:cs="Times New Roman"/>
                <w:color w:val="000000"/>
                <w:sz w:val="20"/>
                <w:szCs w:val="20"/>
                <w:lang w:eastAsia="ru-RU"/>
              </w:rPr>
              <w:t>106,2</w:t>
            </w:r>
          </w:p>
        </w:tc>
        <w:tc>
          <w:tcPr>
            <w:tcW w:w="691" w:type="dxa"/>
            <w:tcBorders>
              <w:top w:val="nil"/>
              <w:left w:val="nil"/>
              <w:bottom w:val="nil"/>
              <w:right w:val="nil"/>
            </w:tcBorders>
            <w:shd w:val="clear" w:color="auto" w:fill="auto"/>
            <w:noWrap/>
            <w:vAlign w:val="bottom"/>
            <w:hideMark/>
          </w:tcPr>
          <w:p w:rsidR="00FA4411" w:rsidRPr="00156E75" w:rsidRDefault="00FA4411" w:rsidP="00156E75">
            <w:pPr>
              <w:spacing w:after="0" w:line="240" w:lineRule="auto"/>
              <w:jc w:val="right"/>
              <w:rPr>
                <w:rFonts w:eastAsia="Times New Roman" w:cs="Times New Roman"/>
                <w:color w:val="000000"/>
                <w:sz w:val="20"/>
                <w:szCs w:val="20"/>
                <w:lang w:eastAsia="ru-RU"/>
              </w:rPr>
            </w:pPr>
            <w:r w:rsidRPr="00156E75">
              <w:rPr>
                <w:rFonts w:eastAsia="Times New Roman" w:cs="Times New Roman"/>
                <w:color w:val="000000"/>
                <w:sz w:val="20"/>
                <w:szCs w:val="20"/>
                <w:lang w:eastAsia="ru-RU"/>
              </w:rPr>
              <w:t>108,8</w:t>
            </w:r>
          </w:p>
        </w:tc>
        <w:tc>
          <w:tcPr>
            <w:tcW w:w="691" w:type="dxa"/>
            <w:tcBorders>
              <w:top w:val="nil"/>
              <w:left w:val="nil"/>
              <w:bottom w:val="nil"/>
              <w:right w:val="nil"/>
            </w:tcBorders>
            <w:shd w:val="clear" w:color="auto" w:fill="auto"/>
            <w:noWrap/>
            <w:vAlign w:val="bottom"/>
            <w:hideMark/>
          </w:tcPr>
          <w:p w:rsidR="00FA4411" w:rsidRPr="00156E75" w:rsidRDefault="00FA4411" w:rsidP="00156E75">
            <w:pPr>
              <w:spacing w:after="0" w:line="240" w:lineRule="auto"/>
              <w:jc w:val="right"/>
              <w:rPr>
                <w:rFonts w:eastAsia="Times New Roman" w:cs="Times New Roman"/>
                <w:color w:val="000000"/>
                <w:sz w:val="20"/>
                <w:szCs w:val="20"/>
                <w:lang w:eastAsia="ru-RU"/>
              </w:rPr>
            </w:pPr>
            <w:r w:rsidRPr="00156E75">
              <w:rPr>
                <w:rFonts w:eastAsia="Times New Roman" w:cs="Times New Roman"/>
                <w:color w:val="000000"/>
                <w:sz w:val="20"/>
                <w:szCs w:val="20"/>
                <w:lang w:eastAsia="ru-RU"/>
              </w:rPr>
              <w:t>112,2</w:t>
            </w:r>
          </w:p>
        </w:tc>
        <w:tc>
          <w:tcPr>
            <w:tcW w:w="691" w:type="dxa"/>
            <w:tcBorders>
              <w:top w:val="nil"/>
              <w:left w:val="nil"/>
              <w:bottom w:val="nil"/>
              <w:right w:val="nil"/>
            </w:tcBorders>
            <w:shd w:val="clear" w:color="auto" w:fill="auto"/>
            <w:noWrap/>
            <w:vAlign w:val="bottom"/>
            <w:hideMark/>
          </w:tcPr>
          <w:p w:rsidR="00FA4411" w:rsidRPr="00156E75" w:rsidRDefault="00FA4411" w:rsidP="00156E75">
            <w:pPr>
              <w:spacing w:after="0" w:line="240" w:lineRule="auto"/>
              <w:jc w:val="right"/>
              <w:rPr>
                <w:rFonts w:eastAsia="Times New Roman" w:cs="Times New Roman"/>
                <w:color w:val="000000"/>
                <w:sz w:val="20"/>
                <w:szCs w:val="20"/>
                <w:lang w:eastAsia="ru-RU"/>
              </w:rPr>
            </w:pPr>
            <w:r w:rsidRPr="00156E75">
              <w:rPr>
                <w:rFonts w:eastAsia="Times New Roman" w:cs="Times New Roman"/>
                <w:color w:val="000000"/>
                <w:sz w:val="20"/>
                <w:szCs w:val="20"/>
                <w:lang w:eastAsia="ru-RU"/>
              </w:rPr>
              <w:t>112,3</w:t>
            </w:r>
          </w:p>
        </w:tc>
        <w:tc>
          <w:tcPr>
            <w:tcW w:w="691" w:type="dxa"/>
            <w:tcBorders>
              <w:top w:val="nil"/>
              <w:left w:val="nil"/>
              <w:bottom w:val="nil"/>
              <w:right w:val="nil"/>
            </w:tcBorders>
            <w:shd w:val="clear" w:color="auto" w:fill="auto"/>
            <w:noWrap/>
            <w:vAlign w:val="bottom"/>
            <w:hideMark/>
          </w:tcPr>
          <w:p w:rsidR="00FA4411" w:rsidRPr="00156E75" w:rsidRDefault="00FA4411" w:rsidP="00156E75">
            <w:pPr>
              <w:spacing w:after="0" w:line="240" w:lineRule="auto"/>
              <w:jc w:val="right"/>
              <w:rPr>
                <w:rFonts w:eastAsia="Times New Roman" w:cs="Times New Roman"/>
                <w:color w:val="000000"/>
                <w:sz w:val="20"/>
                <w:szCs w:val="20"/>
                <w:lang w:eastAsia="ru-RU"/>
              </w:rPr>
            </w:pPr>
            <w:r w:rsidRPr="00156E75">
              <w:rPr>
                <w:rFonts w:eastAsia="Times New Roman" w:cs="Times New Roman"/>
                <w:color w:val="000000"/>
                <w:sz w:val="20"/>
                <w:szCs w:val="20"/>
                <w:lang w:eastAsia="ru-RU"/>
              </w:rPr>
              <w:t>111,7</w:t>
            </w:r>
          </w:p>
        </w:tc>
        <w:tc>
          <w:tcPr>
            <w:tcW w:w="691" w:type="dxa"/>
            <w:tcBorders>
              <w:top w:val="nil"/>
              <w:left w:val="nil"/>
              <w:bottom w:val="nil"/>
              <w:right w:val="nil"/>
            </w:tcBorders>
            <w:shd w:val="clear" w:color="auto" w:fill="auto"/>
            <w:noWrap/>
            <w:vAlign w:val="bottom"/>
            <w:hideMark/>
          </w:tcPr>
          <w:p w:rsidR="00FA4411" w:rsidRPr="00156E75" w:rsidRDefault="00FA4411" w:rsidP="00156E75">
            <w:pPr>
              <w:spacing w:after="0" w:line="240" w:lineRule="auto"/>
              <w:jc w:val="right"/>
              <w:rPr>
                <w:rFonts w:eastAsia="Times New Roman" w:cs="Times New Roman"/>
                <w:color w:val="000000"/>
                <w:sz w:val="20"/>
                <w:szCs w:val="20"/>
                <w:lang w:eastAsia="ru-RU"/>
              </w:rPr>
            </w:pPr>
            <w:r w:rsidRPr="00156E75">
              <w:rPr>
                <w:rFonts w:eastAsia="Times New Roman" w:cs="Times New Roman"/>
                <w:color w:val="000000"/>
                <w:sz w:val="20"/>
                <w:szCs w:val="20"/>
                <w:lang w:eastAsia="ru-RU"/>
              </w:rPr>
              <w:t>110,1</w:t>
            </w:r>
          </w:p>
        </w:tc>
        <w:tc>
          <w:tcPr>
            <w:tcW w:w="691" w:type="dxa"/>
            <w:tcBorders>
              <w:top w:val="nil"/>
              <w:left w:val="nil"/>
              <w:bottom w:val="nil"/>
              <w:right w:val="single" w:sz="8" w:space="0" w:color="auto"/>
            </w:tcBorders>
            <w:shd w:val="clear" w:color="auto" w:fill="auto"/>
            <w:noWrap/>
            <w:vAlign w:val="bottom"/>
            <w:hideMark/>
          </w:tcPr>
          <w:p w:rsidR="00FA4411" w:rsidRPr="00156E75" w:rsidRDefault="00FA4411" w:rsidP="00156E75">
            <w:pPr>
              <w:spacing w:after="0" w:line="240" w:lineRule="auto"/>
              <w:jc w:val="right"/>
              <w:rPr>
                <w:rFonts w:eastAsia="Times New Roman" w:cs="Times New Roman"/>
                <w:color w:val="000000"/>
                <w:sz w:val="20"/>
                <w:szCs w:val="20"/>
                <w:lang w:eastAsia="ru-RU"/>
              </w:rPr>
            </w:pPr>
            <w:r w:rsidRPr="00156E75">
              <w:rPr>
                <w:rFonts w:eastAsia="Times New Roman" w:cs="Times New Roman"/>
                <w:color w:val="000000"/>
                <w:sz w:val="20"/>
                <w:szCs w:val="20"/>
                <w:lang w:eastAsia="ru-RU"/>
              </w:rPr>
              <w:t>107,9</w:t>
            </w:r>
          </w:p>
        </w:tc>
      </w:tr>
      <w:tr w:rsidR="00FA4411" w:rsidRPr="00156E75" w:rsidTr="00156E75">
        <w:trPr>
          <w:trHeight w:val="270"/>
          <w:jc w:val="center"/>
        </w:trPr>
        <w:tc>
          <w:tcPr>
            <w:tcW w:w="1809" w:type="dxa"/>
            <w:tcBorders>
              <w:top w:val="nil"/>
              <w:left w:val="single" w:sz="8" w:space="0" w:color="auto"/>
              <w:bottom w:val="nil"/>
              <w:right w:val="nil"/>
            </w:tcBorders>
            <w:shd w:val="clear" w:color="auto" w:fill="auto"/>
            <w:noWrap/>
            <w:vAlign w:val="bottom"/>
            <w:hideMark/>
          </w:tcPr>
          <w:p w:rsidR="00FA4411" w:rsidRPr="00156E75" w:rsidRDefault="00FA4411" w:rsidP="00156E75">
            <w:pPr>
              <w:spacing w:after="0" w:line="240" w:lineRule="auto"/>
              <w:rPr>
                <w:rFonts w:eastAsia="Times New Roman" w:cs="Times New Roman"/>
                <w:b/>
                <w:bCs/>
                <w:color w:val="000000"/>
                <w:sz w:val="20"/>
                <w:szCs w:val="20"/>
                <w:lang w:eastAsia="ru-RU"/>
              </w:rPr>
            </w:pPr>
            <w:r w:rsidRPr="00156E75">
              <w:rPr>
                <w:rFonts w:eastAsia="Times New Roman" w:cs="Times New Roman"/>
                <w:b/>
                <w:bCs/>
                <w:color w:val="000000"/>
                <w:sz w:val="20"/>
                <w:szCs w:val="20"/>
                <w:lang w:eastAsia="ru-RU"/>
              </w:rPr>
              <w:t>Медицинские услуги</w:t>
            </w:r>
          </w:p>
        </w:tc>
        <w:tc>
          <w:tcPr>
            <w:tcW w:w="1532" w:type="dxa"/>
            <w:tcBorders>
              <w:top w:val="nil"/>
              <w:left w:val="nil"/>
              <w:bottom w:val="nil"/>
              <w:right w:val="nil"/>
            </w:tcBorders>
            <w:shd w:val="clear" w:color="auto" w:fill="auto"/>
            <w:noWrap/>
            <w:vAlign w:val="bottom"/>
            <w:hideMark/>
          </w:tcPr>
          <w:p w:rsidR="00FA4411" w:rsidRPr="00156E75" w:rsidRDefault="00FA4411" w:rsidP="00156E75">
            <w:pPr>
              <w:spacing w:after="0" w:line="240" w:lineRule="auto"/>
              <w:rPr>
                <w:rFonts w:eastAsia="Times New Roman" w:cs="Times New Roman"/>
                <w:b/>
                <w:bCs/>
                <w:color w:val="000000"/>
                <w:sz w:val="20"/>
                <w:szCs w:val="20"/>
                <w:lang w:eastAsia="ru-RU"/>
              </w:rPr>
            </w:pPr>
          </w:p>
        </w:tc>
        <w:tc>
          <w:tcPr>
            <w:tcW w:w="691" w:type="dxa"/>
            <w:tcBorders>
              <w:top w:val="nil"/>
              <w:left w:val="nil"/>
              <w:bottom w:val="nil"/>
              <w:right w:val="nil"/>
            </w:tcBorders>
            <w:shd w:val="clear" w:color="auto" w:fill="auto"/>
            <w:noWrap/>
            <w:vAlign w:val="bottom"/>
            <w:hideMark/>
          </w:tcPr>
          <w:p w:rsidR="00FA4411" w:rsidRPr="00156E75" w:rsidRDefault="00FA4411" w:rsidP="00156E75">
            <w:pPr>
              <w:spacing w:after="0" w:line="240" w:lineRule="auto"/>
              <w:jc w:val="right"/>
              <w:rPr>
                <w:rFonts w:eastAsia="Times New Roman" w:cs="Times New Roman"/>
                <w:color w:val="000000"/>
                <w:sz w:val="20"/>
                <w:szCs w:val="20"/>
                <w:lang w:eastAsia="ru-RU"/>
              </w:rPr>
            </w:pPr>
            <w:r w:rsidRPr="00156E75">
              <w:rPr>
                <w:rFonts w:eastAsia="Times New Roman" w:cs="Times New Roman"/>
                <w:color w:val="000000"/>
                <w:sz w:val="20"/>
                <w:szCs w:val="20"/>
                <w:lang w:eastAsia="ru-RU"/>
              </w:rPr>
              <w:t>109,2</w:t>
            </w:r>
          </w:p>
        </w:tc>
        <w:tc>
          <w:tcPr>
            <w:tcW w:w="691" w:type="dxa"/>
            <w:tcBorders>
              <w:top w:val="nil"/>
              <w:left w:val="nil"/>
              <w:bottom w:val="nil"/>
              <w:right w:val="nil"/>
            </w:tcBorders>
            <w:shd w:val="clear" w:color="auto" w:fill="auto"/>
            <w:noWrap/>
            <w:vAlign w:val="bottom"/>
            <w:hideMark/>
          </w:tcPr>
          <w:p w:rsidR="00FA4411" w:rsidRPr="00156E75" w:rsidRDefault="00FA4411" w:rsidP="00156E75">
            <w:pPr>
              <w:spacing w:after="0" w:line="240" w:lineRule="auto"/>
              <w:jc w:val="right"/>
              <w:rPr>
                <w:rFonts w:eastAsia="Times New Roman" w:cs="Times New Roman"/>
                <w:color w:val="000000"/>
                <w:sz w:val="20"/>
                <w:szCs w:val="20"/>
                <w:lang w:eastAsia="ru-RU"/>
              </w:rPr>
            </w:pPr>
            <w:r w:rsidRPr="00156E75">
              <w:rPr>
                <w:rFonts w:eastAsia="Times New Roman" w:cs="Times New Roman"/>
                <w:color w:val="000000"/>
                <w:sz w:val="20"/>
                <w:szCs w:val="20"/>
                <w:lang w:eastAsia="ru-RU"/>
              </w:rPr>
              <w:t>105,6</w:t>
            </w:r>
          </w:p>
        </w:tc>
        <w:tc>
          <w:tcPr>
            <w:tcW w:w="691" w:type="dxa"/>
            <w:tcBorders>
              <w:top w:val="nil"/>
              <w:left w:val="nil"/>
              <w:bottom w:val="nil"/>
              <w:right w:val="nil"/>
            </w:tcBorders>
            <w:shd w:val="clear" w:color="auto" w:fill="auto"/>
            <w:noWrap/>
            <w:vAlign w:val="bottom"/>
            <w:hideMark/>
          </w:tcPr>
          <w:p w:rsidR="00FA4411" w:rsidRPr="00156E75" w:rsidRDefault="00FA4411" w:rsidP="00156E75">
            <w:pPr>
              <w:spacing w:after="0" w:line="240" w:lineRule="auto"/>
              <w:jc w:val="right"/>
              <w:rPr>
                <w:rFonts w:eastAsia="Times New Roman" w:cs="Times New Roman"/>
                <w:color w:val="000000"/>
                <w:sz w:val="20"/>
                <w:szCs w:val="20"/>
                <w:lang w:eastAsia="ru-RU"/>
              </w:rPr>
            </w:pPr>
            <w:r w:rsidRPr="00156E75">
              <w:rPr>
                <w:rFonts w:eastAsia="Times New Roman" w:cs="Times New Roman"/>
                <w:color w:val="000000"/>
                <w:sz w:val="20"/>
                <w:szCs w:val="20"/>
                <w:lang w:eastAsia="ru-RU"/>
              </w:rPr>
              <w:t>109,5</w:t>
            </w:r>
          </w:p>
        </w:tc>
        <w:tc>
          <w:tcPr>
            <w:tcW w:w="691" w:type="dxa"/>
            <w:tcBorders>
              <w:top w:val="nil"/>
              <w:left w:val="nil"/>
              <w:bottom w:val="nil"/>
              <w:right w:val="nil"/>
            </w:tcBorders>
            <w:shd w:val="clear" w:color="auto" w:fill="auto"/>
            <w:noWrap/>
            <w:vAlign w:val="bottom"/>
            <w:hideMark/>
          </w:tcPr>
          <w:p w:rsidR="00FA4411" w:rsidRPr="00156E75" w:rsidRDefault="00FA4411" w:rsidP="00156E75">
            <w:pPr>
              <w:spacing w:after="0" w:line="240" w:lineRule="auto"/>
              <w:jc w:val="right"/>
              <w:rPr>
                <w:rFonts w:eastAsia="Times New Roman" w:cs="Times New Roman"/>
                <w:color w:val="000000"/>
                <w:sz w:val="20"/>
                <w:szCs w:val="20"/>
                <w:lang w:eastAsia="ru-RU"/>
              </w:rPr>
            </w:pPr>
            <w:r w:rsidRPr="00156E75">
              <w:rPr>
                <w:rFonts w:eastAsia="Times New Roman" w:cs="Times New Roman"/>
                <w:color w:val="000000"/>
                <w:sz w:val="20"/>
                <w:szCs w:val="20"/>
                <w:lang w:eastAsia="ru-RU"/>
              </w:rPr>
              <w:t>118,9</w:t>
            </w:r>
          </w:p>
        </w:tc>
        <w:tc>
          <w:tcPr>
            <w:tcW w:w="691" w:type="dxa"/>
            <w:tcBorders>
              <w:top w:val="nil"/>
              <w:left w:val="nil"/>
              <w:bottom w:val="nil"/>
              <w:right w:val="nil"/>
            </w:tcBorders>
            <w:shd w:val="clear" w:color="auto" w:fill="auto"/>
            <w:noWrap/>
            <w:vAlign w:val="bottom"/>
            <w:hideMark/>
          </w:tcPr>
          <w:p w:rsidR="00FA4411" w:rsidRPr="00156E75" w:rsidRDefault="00FA4411" w:rsidP="00156E75">
            <w:pPr>
              <w:spacing w:after="0" w:line="240" w:lineRule="auto"/>
              <w:jc w:val="right"/>
              <w:rPr>
                <w:rFonts w:eastAsia="Times New Roman" w:cs="Times New Roman"/>
                <w:color w:val="000000"/>
                <w:sz w:val="20"/>
                <w:szCs w:val="20"/>
                <w:lang w:eastAsia="ru-RU"/>
              </w:rPr>
            </w:pPr>
            <w:r w:rsidRPr="00156E75">
              <w:rPr>
                <w:rFonts w:eastAsia="Times New Roman" w:cs="Times New Roman"/>
                <w:color w:val="000000"/>
                <w:sz w:val="20"/>
                <w:szCs w:val="20"/>
                <w:lang w:eastAsia="ru-RU"/>
              </w:rPr>
              <w:t>119,5</w:t>
            </w:r>
          </w:p>
        </w:tc>
        <w:tc>
          <w:tcPr>
            <w:tcW w:w="691" w:type="dxa"/>
            <w:tcBorders>
              <w:top w:val="nil"/>
              <w:left w:val="nil"/>
              <w:bottom w:val="nil"/>
              <w:right w:val="nil"/>
            </w:tcBorders>
            <w:shd w:val="clear" w:color="auto" w:fill="auto"/>
            <w:noWrap/>
            <w:vAlign w:val="bottom"/>
            <w:hideMark/>
          </w:tcPr>
          <w:p w:rsidR="00FA4411" w:rsidRPr="00156E75" w:rsidRDefault="00FA4411" w:rsidP="00156E75">
            <w:pPr>
              <w:spacing w:after="0" w:line="240" w:lineRule="auto"/>
              <w:jc w:val="right"/>
              <w:rPr>
                <w:rFonts w:eastAsia="Times New Roman" w:cs="Times New Roman"/>
                <w:color w:val="000000"/>
                <w:sz w:val="20"/>
                <w:szCs w:val="20"/>
                <w:lang w:eastAsia="ru-RU"/>
              </w:rPr>
            </w:pPr>
            <w:r w:rsidRPr="00156E75">
              <w:rPr>
                <w:rFonts w:eastAsia="Times New Roman" w:cs="Times New Roman"/>
                <w:color w:val="000000"/>
                <w:sz w:val="20"/>
                <w:szCs w:val="20"/>
                <w:lang w:eastAsia="ru-RU"/>
              </w:rPr>
              <w:t>115,6</w:t>
            </w:r>
          </w:p>
        </w:tc>
        <w:tc>
          <w:tcPr>
            <w:tcW w:w="691" w:type="dxa"/>
            <w:tcBorders>
              <w:top w:val="nil"/>
              <w:left w:val="nil"/>
              <w:bottom w:val="nil"/>
              <w:right w:val="nil"/>
            </w:tcBorders>
            <w:shd w:val="clear" w:color="auto" w:fill="auto"/>
            <w:noWrap/>
            <w:vAlign w:val="bottom"/>
            <w:hideMark/>
          </w:tcPr>
          <w:p w:rsidR="00FA4411" w:rsidRPr="00156E75" w:rsidRDefault="00FA4411" w:rsidP="00156E75">
            <w:pPr>
              <w:spacing w:after="0" w:line="240" w:lineRule="auto"/>
              <w:jc w:val="right"/>
              <w:rPr>
                <w:rFonts w:eastAsia="Times New Roman" w:cs="Times New Roman"/>
                <w:color w:val="000000"/>
                <w:sz w:val="20"/>
                <w:szCs w:val="20"/>
                <w:lang w:eastAsia="ru-RU"/>
              </w:rPr>
            </w:pPr>
            <w:r w:rsidRPr="00156E75">
              <w:rPr>
                <w:rFonts w:eastAsia="Times New Roman" w:cs="Times New Roman"/>
                <w:color w:val="000000"/>
                <w:sz w:val="20"/>
                <w:szCs w:val="20"/>
                <w:lang w:eastAsia="ru-RU"/>
              </w:rPr>
              <w:t>112,5</w:t>
            </w:r>
          </w:p>
        </w:tc>
        <w:tc>
          <w:tcPr>
            <w:tcW w:w="691" w:type="dxa"/>
            <w:tcBorders>
              <w:top w:val="nil"/>
              <w:left w:val="nil"/>
              <w:bottom w:val="nil"/>
              <w:right w:val="single" w:sz="8" w:space="0" w:color="auto"/>
            </w:tcBorders>
            <w:shd w:val="clear" w:color="auto" w:fill="auto"/>
            <w:noWrap/>
            <w:vAlign w:val="bottom"/>
            <w:hideMark/>
          </w:tcPr>
          <w:p w:rsidR="00FA4411" w:rsidRPr="00156E75" w:rsidRDefault="00FA4411" w:rsidP="00156E75">
            <w:pPr>
              <w:spacing w:after="0" w:line="240" w:lineRule="auto"/>
              <w:jc w:val="right"/>
              <w:rPr>
                <w:rFonts w:eastAsia="Times New Roman" w:cs="Times New Roman"/>
                <w:color w:val="000000"/>
                <w:sz w:val="20"/>
                <w:szCs w:val="20"/>
                <w:lang w:eastAsia="ru-RU"/>
              </w:rPr>
            </w:pPr>
            <w:r w:rsidRPr="00156E75">
              <w:rPr>
                <w:rFonts w:eastAsia="Times New Roman" w:cs="Times New Roman"/>
                <w:color w:val="000000"/>
                <w:sz w:val="20"/>
                <w:szCs w:val="20"/>
                <w:lang w:eastAsia="ru-RU"/>
              </w:rPr>
              <w:t>107,5</w:t>
            </w:r>
          </w:p>
        </w:tc>
      </w:tr>
      <w:tr w:rsidR="00FA4411" w:rsidRPr="00156E75" w:rsidTr="00156E75">
        <w:trPr>
          <w:trHeight w:val="270"/>
          <w:jc w:val="center"/>
        </w:trPr>
        <w:tc>
          <w:tcPr>
            <w:tcW w:w="1809" w:type="dxa"/>
            <w:tcBorders>
              <w:top w:val="nil"/>
              <w:left w:val="single" w:sz="8" w:space="0" w:color="auto"/>
              <w:bottom w:val="nil"/>
              <w:right w:val="nil"/>
            </w:tcBorders>
            <w:shd w:val="clear" w:color="auto" w:fill="auto"/>
            <w:noWrap/>
            <w:vAlign w:val="bottom"/>
            <w:hideMark/>
          </w:tcPr>
          <w:p w:rsidR="00FA4411" w:rsidRPr="00156E75" w:rsidRDefault="00FA4411" w:rsidP="00156E75">
            <w:pPr>
              <w:spacing w:after="0" w:line="240" w:lineRule="auto"/>
              <w:rPr>
                <w:rFonts w:eastAsia="Times New Roman" w:cs="Times New Roman"/>
                <w:b/>
                <w:bCs/>
                <w:color w:val="000000"/>
                <w:sz w:val="20"/>
                <w:szCs w:val="20"/>
                <w:lang w:eastAsia="ru-RU"/>
              </w:rPr>
            </w:pPr>
            <w:r w:rsidRPr="00156E75">
              <w:rPr>
                <w:rFonts w:eastAsia="Times New Roman" w:cs="Times New Roman"/>
                <w:b/>
                <w:bCs/>
                <w:color w:val="000000"/>
                <w:sz w:val="20"/>
                <w:szCs w:val="20"/>
                <w:lang w:eastAsia="ru-RU"/>
              </w:rPr>
              <w:t>Стоматологические услуги</w:t>
            </w:r>
          </w:p>
        </w:tc>
        <w:tc>
          <w:tcPr>
            <w:tcW w:w="1532" w:type="dxa"/>
            <w:tcBorders>
              <w:top w:val="nil"/>
              <w:left w:val="nil"/>
              <w:bottom w:val="nil"/>
              <w:right w:val="nil"/>
            </w:tcBorders>
            <w:shd w:val="clear" w:color="auto" w:fill="auto"/>
            <w:noWrap/>
            <w:vAlign w:val="bottom"/>
            <w:hideMark/>
          </w:tcPr>
          <w:p w:rsidR="00FA4411" w:rsidRPr="00156E75" w:rsidRDefault="00FA4411" w:rsidP="00156E75">
            <w:pPr>
              <w:spacing w:after="0" w:line="240" w:lineRule="auto"/>
              <w:rPr>
                <w:rFonts w:eastAsia="Times New Roman" w:cs="Times New Roman"/>
                <w:b/>
                <w:bCs/>
                <w:color w:val="000000"/>
                <w:sz w:val="20"/>
                <w:szCs w:val="20"/>
                <w:lang w:eastAsia="ru-RU"/>
              </w:rPr>
            </w:pPr>
          </w:p>
        </w:tc>
        <w:tc>
          <w:tcPr>
            <w:tcW w:w="691" w:type="dxa"/>
            <w:tcBorders>
              <w:top w:val="nil"/>
              <w:left w:val="nil"/>
              <w:bottom w:val="nil"/>
              <w:right w:val="nil"/>
            </w:tcBorders>
            <w:shd w:val="clear" w:color="auto" w:fill="auto"/>
            <w:noWrap/>
            <w:vAlign w:val="bottom"/>
            <w:hideMark/>
          </w:tcPr>
          <w:p w:rsidR="00FA4411" w:rsidRPr="00156E75" w:rsidRDefault="00FA4411" w:rsidP="00156E75">
            <w:pPr>
              <w:spacing w:after="0" w:line="240" w:lineRule="auto"/>
              <w:jc w:val="right"/>
              <w:rPr>
                <w:rFonts w:eastAsia="Times New Roman" w:cs="Times New Roman"/>
                <w:color w:val="000000"/>
                <w:sz w:val="20"/>
                <w:szCs w:val="20"/>
                <w:lang w:eastAsia="ru-RU"/>
              </w:rPr>
            </w:pPr>
            <w:r w:rsidRPr="00156E75">
              <w:rPr>
                <w:rFonts w:eastAsia="Times New Roman" w:cs="Times New Roman"/>
                <w:color w:val="000000"/>
                <w:sz w:val="20"/>
                <w:szCs w:val="20"/>
                <w:lang w:eastAsia="ru-RU"/>
              </w:rPr>
              <w:t>108,7</w:t>
            </w:r>
          </w:p>
        </w:tc>
        <w:tc>
          <w:tcPr>
            <w:tcW w:w="691" w:type="dxa"/>
            <w:tcBorders>
              <w:top w:val="nil"/>
              <w:left w:val="nil"/>
              <w:bottom w:val="nil"/>
              <w:right w:val="nil"/>
            </w:tcBorders>
            <w:shd w:val="clear" w:color="auto" w:fill="auto"/>
            <w:noWrap/>
            <w:vAlign w:val="bottom"/>
            <w:hideMark/>
          </w:tcPr>
          <w:p w:rsidR="00FA4411" w:rsidRPr="00156E75" w:rsidRDefault="00FA4411" w:rsidP="00156E75">
            <w:pPr>
              <w:spacing w:after="0" w:line="240" w:lineRule="auto"/>
              <w:jc w:val="right"/>
              <w:rPr>
                <w:rFonts w:eastAsia="Times New Roman" w:cs="Times New Roman"/>
                <w:color w:val="000000"/>
                <w:sz w:val="20"/>
                <w:szCs w:val="20"/>
                <w:lang w:eastAsia="ru-RU"/>
              </w:rPr>
            </w:pPr>
            <w:r w:rsidRPr="00156E75">
              <w:rPr>
                <w:rFonts w:eastAsia="Times New Roman" w:cs="Times New Roman"/>
                <w:color w:val="000000"/>
                <w:sz w:val="20"/>
                <w:szCs w:val="20"/>
                <w:lang w:eastAsia="ru-RU"/>
              </w:rPr>
              <w:t>109</w:t>
            </w:r>
          </w:p>
        </w:tc>
        <w:tc>
          <w:tcPr>
            <w:tcW w:w="691" w:type="dxa"/>
            <w:tcBorders>
              <w:top w:val="nil"/>
              <w:left w:val="nil"/>
              <w:bottom w:val="nil"/>
              <w:right w:val="nil"/>
            </w:tcBorders>
            <w:shd w:val="clear" w:color="auto" w:fill="auto"/>
            <w:noWrap/>
            <w:vAlign w:val="bottom"/>
            <w:hideMark/>
          </w:tcPr>
          <w:p w:rsidR="00FA4411" w:rsidRPr="00156E75" w:rsidRDefault="00FA4411" w:rsidP="00156E75">
            <w:pPr>
              <w:spacing w:after="0" w:line="240" w:lineRule="auto"/>
              <w:jc w:val="right"/>
              <w:rPr>
                <w:rFonts w:eastAsia="Times New Roman" w:cs="Times New Roman"/>
                <w:color w:val="000000"/>
                <w:sz w:val="20"/>
                <w:szCs w:val="20"/>
                <w:lang w:eastAsia="ru-RU"/>
              </w:rPr>
            </w:pPr>
            <w:r w:rsidRPr="00156E75">
              <w:rPr>
                <w:rFonts w:eastAsia="Times New Roman" w:cs="Times New Roman"/>
                <w:color w:val="000000"/>
                <w:sz w:val="20"/>
                <w:szCs w:val="20"/>
                <w:lang w:eastAsia="ru-RU"/>
              </w:rPr>
              <w:t>110,6</w:t>
            </w:r>
          </w:p>
        </w:tc>
        <w:tc>
          <w:tcPr>
            <w:tcW w:w="691" w:type="dxa"/>
            <w:tcBorders>
              <w:top w:val="nil"/>
              <w:left w:val="nil"/>
              <w:bottom w:val="nil"/>
              <w:right w:val="nil"/>
            </w:tcBorders>
            <w:shd w:val="clear" w:color="auto" w:fill="auto"/>
            <w:noWrap/>
            <w:vAlign w:val="bottom"/>
            <w:hideMark/>
          </w:tcPr>
          <w:p w:rsidR="00FA4411" w:rsidRPr="00156E75" w:rsidRDefault="00FA4411" w:rsidP="00156E75">
            <w:pPr>
              <w:spacing w:after="0" w:line="240" w:lineRule="auto"/>
              <w:jc w:val="right"/>
              <w:rPr>
                <w:rFonts w:eastAsia="Times New Roman" w:cs="Times New Roman"/>
                <w:color w:val="000000"/>
                <w:sz w:val="20"/>
                <w:szCs w:val="20"/>
                <w:lang w:eastAsia="ru-RU"/>
              </w:rPr>
            </w:pPr>
            <w:r w:rsidRPr="00156E75">
              <w:rPr>
                <w:rFonts w:eastAsia="Times New Roman" w:cs="Times New Roman"/>
                <w:color w:val="000000"/>
                <w:sz w:val="20"/>
                <w:szCs w:val="20"/>
                <w:lang w:eastAsia="ru-RU"/>
              </w:rPr>
              <w:t>108,4</w:t>
            </w:r>
          </w:p>
        </w:tc>
        <w:tc>
          <w:tcPr>
            <w:tcW w:w="691" w:type="dxa"/>
            <w:tcBorders>
              <w:top w:val="nil"/>
              <w:left w:val="nil"/>
              <w:bottom w:val="nil"/>
              <w:right w:val="nil"/>
            </w:tcBorders>
            <w:shd w:val="clear" w:color="auto" w:fill="auto"/>
            <w:noWrap/>
            <w:vAlign w:val="bottom"/>
            <w:hideMark/>
          </w:tcPr>
          <w:p w:rsidR="00FA4411" w:rsidRPr="00156E75" w:rsidRDefault="00FA4411" w:rsidP="00156E75">
            <w:pPr>
              <w:spacing w:after="0" w:line="240" w:lineRule="auto"/>
              <w:jc w:val="right"/>
              <w:rPr>
                <w:rFonts w:eastAsia="Times New Roman" w:cs="Times New Roman"/>
                <w:color w:val="000000"/>
                <w:sz w:val="20"/>
                <w:szCs w:val="20"/>
                <w:lang w:eastAsia="ru-RU"/>
              </w:rPr>
            </w:pPr>
            <w:r w:rsidRPr="00156E75">
              <w:rPr>
                <w:rFonts w:eastAsia="Times New Roman" w:cs="Times New Roman"/>
                <w:color w:val="000000"/>
                <w:sz w:val="20"/>
                <w:szCs w:val="20"/>
                <w:lang w:eastAsia="ru-RU"/>
              </w:rPr>
              <w:t>111,3</w:t>
            </w:r>
          </w:p>
        </w:tc>
        <w:tc>
          <w:tcPr>
            <w:tcW w:w="691" w:type="dxa"/>
            <w:tcBorders>
              <w:top w:val="nil"/>
              <w:left w:val="nil"/>
              <w:bottom w:val="nil"/>
              <w:right w:val="nil"/>
            </w:tcBorders>
            <w:shd w:val="clear" w:color="auto" w:fill="auto"/>
            <w:noWrap/>
            <w:vAlign w:val="bottom"/>
            <w:hideMark/>
          </w:tcPr>
          <w:p w:rsidR="00FA4411" w:rsidRPr="00156E75" w:rsidRDefault="00FA4411" w:rsidP="00156E75">
            <w:pPr>
              <w:spacing w:after="0" w:line="240" w:lineRule="auto"/>
              <w:jc w:val="right"/>
              <w:rPr>
                <w:rFonts w:eastAsia="Times New Roman" w:cs="Times New Roman"/>
                <w:color w:val="000000"/>
                <w:sz w:val="20"/>
                <w:szCs w:val="20"/>
                <w:lang w:eastAsia="ru-RU"/>
              </w:rPr>
            </w:pPr>
            <w:r w:rsidRPr="00156E75">
              <w:rPr>
                <w:rFonts w:eastAsia="Times New Roman" w:cs="Times New Roman"/>
                <w:color w:val="000000"/>
                <w:sz w:val="20"/>
                <w:szCs w:val="20"/>
                <w:lang w:eastAsia="ru-RU"/>
              </w:rPr>
              <w:t>110,8</w:t>
            </w:r>
          </w:p>
        </w:tc>
        <w:tc>
          <w:tcPr>
            <w:tcW w:w="691" w:type="dxa"/>
            <w:tcBorders>
              <w:top w:val="nil"/>
              <w:left w:val="nil"/>
              <w:bottom w:val="nil"/>
              <w:right w:val="nil"/>
            </w:tcBorders>
            <w:shd w:val="clear" w:color="auto" w:fill="auto"/>
            <w:noWrap/>
            <w:vAlign w:val="bottom"/>
            <w:hideMark/>
          </w:tcPr>
          <w:p w:rsidR="00FA4411" w:rsidRPr="00156E75" w:rsidRDefault="00FA4411" w:rsidP="00156E75">
            <w:pPr>
              <w:spacing w:after="0" w:line="240" w:lineRule="auto"/>
              <w:jc w:val="right"/>
              <w:rPr>
                <w:rFonts w:eastAsia="Times New Roman" w:cs="Times New Roman"/>
                <w:color w:val="000000"/>
                <w:sz w:val="20"/>
                <w:szCs w:val="20"/>
                <w:lang w:eastAsia="ru-RU"/>
              </w:rPr>
            </w:pPr>
            <w:r w:rsidRPr="00156E75">
              <w:rPr>
                <w:rFonts w:eastAsia="Times New Roman" w:cs="Times New Roman"/>
                <w:color w:val="000000"/>
                <w:sz w:val="20"/>
                <w:szCs w:val="20"/>
                <w:lang w:eastAsia="ru-RU"/>
              </w:rPr>
              <w:t>107,2</w:t>
            </w:r>
          </w:p>
        </w:tc>
        <w:tc>
          <w:tcPr>
            <w:tcW w:w="691" w:type="dxa"/>
            <w:tcBorders>
              <w:top w:val="nil"/>
              <w:left w:val="nil"/>
              <w:bottom w:val="nil"/>
              <w:right w:val="single" w:sz="8" w:space="0" w:color="auto"/>
            </w:tcBorders>
            <w:shd w:val="clear" w:color="auto" w:fill="auto"/>
            <w:noWrap/>
            <w:vAlign w:val="bottom"/>
            <w:hideMark/>
          </w:tcPr>
          <w:p w:rsidR="00FA4411" w:rsidRPr="00156E75" w:rsidRDefault="00FA4411" w:rsidP="00156E75">
            <w:pPr>
              <w:spacing w:after="0" w:line="240" w:lineRule="auto"/>
              <w:jc w:val="right"/>
              <w:rPr>
                <w:rFonts w:eastAsia="Times New Roman" w:cs="Times New Roman"/>
                <w:color w:val="000000"/>
                <w:sz w:val="20"/>
                <w:szCs w:val="20"/>
                <w:lang w:eastAsia="ru-RU"/>
              </w:rPr>
            </w:pPr>
            <w:r w:rsidRPr="00156E75">
              <w:rPr>
                <w:rFonts w:eastAsia="Times New Roman" w:cs="Times New Roman"/>
                <w:color w:val="000000"/>
                <w:sz w:val="20"/>
                <w:szCs w:val="20"/>
                <w:lang w:eastAsia="ru-RU"/>
              </w:rPr>
              <w:t>108,2</w:t>
            </w:r>
          </w:p>
        </w:tc>
      </w:tr>
      <w:tr w:rsidR="00FA4411" w:rsidRPr="00156E75" w:rsidTr="00156E75">
        <w:trPr>
          <w:trHeight w:val="285"/>
          <w:jc w:val="center"/>
        </w:trPr>
        <w:tc>
          <w:tcPr>
            <w:tcW w:w="1809" w:type="dxa"/>
            <w:tcBorders>
              <w:top w:val="nil"/>
              <w:left w:val="single" w:sz="8" w:space="0" w:color="auto"/>
              <w:bottom w:val="single" w:sz="4" w:space="0" w:color="auto"/>
              <w:right w:val="nil"/>
            </w:tcBorders>
            <w:shd w:val="clear" w:color="auto" w:fill="auto"/>
            <w:noWrap/>
            <w:vAlign w:val="bottom"/>
            <w:hideMark/>
          </w:tcPr>
          <w:p w:rsidR="00FA4411" w:rsidRPr="00156E75" w:rsidRDefault="00FA4411" w:rsidP="00156E75">
            <w:pPr>
              <w:spacing w:after="0" w:line="240" w:lineRule="auto"/>
              <w:rPr>
                <w:rFonts w:eastAsia="Times New Roman" w:cs="Times New Roman"/>
                <w:b/>
                <w:bCs/>
                <w:color w:val="000000"/>
                <w:sz w:val="20"/>
                <w:szCs w:val="20"/>
                <w:lang w:eastAsia="ru-RU"/>
              </w:rPr>
            </w:pPr>
            <w:r w:rsidRPr="00156E75">
              <w:rPr>
                <w:rFonts w:eastAsia="Times New Roman" w:cs="Times New Roman"/>
                <w:b/>
                <w:bCs/>
                <w:color w:val="000000"/>
                <w:sz w:val="20"/>
                <w:szCs w:val="20"/>
                <w:lang w:eastAsia="ru-RU"/>
              </w:rPr>
              <w:t>Парамедицинские услуги</w:t>
            </w:r>
          </w:p>
        </w:tc>
        <w:tc>
          <w:tcPr>
            <w:tcW w:w="1532" w:type="dxa"/>
            <w:tcBorders>
              <w:top w:val="nil"/>
              <w:left w:val="nil"/>
              <w:bottom w:val="single" w:sz="4" w:space="0" w:color="auto"/>
              <w:right w:val="nil"/>
            </w:tcBorders>
            <w:shd w:val="clear" w:color="auto" w:fill="auto"/>
            <w:noWrap/>
            <w:vAlign w:val="bottom"/>
            <w:hideMark/>
          </w:tcPr>
          <w:p w:rsidR="00FA4411" w:rsidRPr="00156E75" w:rsidRDefault="00FA4411" w:rsidP="00156E75">
            <w:pPr>
              <w:spacing w:after="0" w:line="240" w:lineRule="auto"/>
              <w:rPr>
                <w:rFonts w:eastAsia="Times New Roman" w:cs="Times New Roman"/>
                <w:color w:val="000000"/>
                <w:sz w:val="20"/>
                <w:szCs w:val="20"/>
                <w:lang w:eastAsia="ru-RU"/>
              </w:rPr>
            </w:pPr>
            <w:r w:rsidRPr="00156E75">
              <w:rPr>
                <w:rFonts w:eastAsia="Times New Roman" w:cs="Times New Roman"/>
                <w:color w:val="000000"/>
                <w:sz w:val="20"/>
                <w:szCs w:val="20"/>
                <w:lang w:eastAsia="ru-RU"/>
              </w:rPr>
              <w:t> </w:t>
            </w:r>
          </w:p>
        </w:tc>
        <w:tc>
          <w:tcPr>
            <w:tcW w:w="691" w:type="dxa"/>
            <w:tcBorders>
              <w:top w:val="nil"/>
              <w:left w:val="nil"/>
              <w:bottom w:val="single" w:sz="4" w:space="0" w:color="auto"/>
              <w:right w:val="nil"/>
            </w:tcBorders>
            <w:shd w:val="clear" w:color="auto" w:fill="auto"/>
            <w:noWrap/>
            <w:vAlign w:val="bottom"/>
            <w:hideMark/>
          </w:tcPr>
          <w:p w:rsidR="00FA4411" w:rsidRPr="00156E75" w:rsidRDefault="00FA4411" w:rsidP="00156E75">
            <w:pPr>
              <w:spacing w:after="0" w:line="240" w:lineRule="auto"/>
              <w:jc w:val="right"/>
              <w:rPr>
                <w:rFonts w:eastAsia="Times New Roman" w:cs="Times New Roman"/>
                <w:color w:val="000000"/>
                <w:sz w:val="20"/>
                <w:szCs w:val="20"/>
                <w:lang w:eastAsia="ru-RU"/>
              </w:rPr>
            </w:pPr>
            <w:r w:rsidRPr="00156E75">
              <w:rPr>
                <w:rFonts w:eastAsia="Times New Roman" w:cs="Times New Roman"/>
                <w:color w:val="000000"/>
                <w:sz w:val="20"/>
                <w:szCs w:val="20"/>
                <w:lang w:eastAsia="ru-RU"/>
              </w:rPr>
              <w:t>110,8</w:t>
            </w:r>
          </w:p>
        </w:tc>
        <w:tc>
          <w:tcPr>
            <w:tcW w:w="691" w:type="dxa"/>
            <w:tcBorders>
              <w:top w:val="nil"/>
              <w:left w:val="nil"/>
              <w:bottom w:val="single" w:sz="4" w:space="0" w:color="auto"/>
              <w:right w:val="nil"/>
            </w:tcBorders>
            <w:shd w:val="clear" w:color="auto" w:fill="auto"/>
            <w:noWrap/>
            <w:vAlign w:val="bottom"/>
            <w:hideMark/>
          </w:tcPr>
          <w:p w:rsidR="00FA4411" w:rsidRPr="00156E75" w:rsidRDefault="00FA4411" w:rsidP="00156E75">
            <w:pPr>
              <w:spacing w:after="0" w:line="240" w:lineRule="auto"/>
              <w:jc w:val="right"/>
              <w:rPr>
                <w:rFonts w:eastAsia="Times New Roman" w:cs="Times New Roman"/>
                <w:color w:val="000000"/>
                <w:sz w:val="20"/>
                <w:szCs w:val="20"/>
                <w:lang w:eastAsia="ru-RU"/>
              </w:rPr>
            </w:pPr>
            <w:r w:rsidRPr="00156E75">
              <w:rPr>
                <w:rFonts w:eastAsia="Times New Roman" w:cs="Times New Roman"/>
                <w:color w:val="000000"/>
                <w:sz w:val="20"/>
                <w:szCs w:val="20"/>
                <w:lang w:eastAsia="ru-RU"/>
              </w:rPr>
              <w:t>105,1</w:t>
            </w:r>
          </w:p>
        </w:tc>
        <w:tc>
          <w:tcPr>
            <w:tcW w:w="691" w:type="dxa"/>
            <w:tcBorders>
              <w:top w:val="nil"/>
              <w:left w:val="nil"/>
              <w:bottom w:val="single" w:sz="4" w:space="0" w:color="auto"/>
              <w:right w:val="nil"/>
            </w:tcBorders>
            <w:shd w:val="clear" w:color="auto" w:fill="auto"/>
            <w:noWrap/>
            <w:vAlign w:val="bottom"/>
            <w:hideMark/>
          </w:tcPr>
          <w:p w:rsidR="00FA4411" w:rsidRPr="00156E75" w:rsidRDefault="00FA4411" w:rsidP="00156E75">
            <w:pPr>
              <w:spacing w:after="0" w:line="240" w:lineRule="auto"/>
              <w:jc w:val="right"/>
              <w:rPr>
                <w:rFonts w:eastAsia="Times New Roman" w:cs="Times New Roman"/>
                <w:color w:val="000000"/>
                <w:sz w:val="20"/>
                <w:szCs w:val="20"/>
                <w:lang w:eastAsia="ru-RU"/>
              </w:rPr>
            </w:pPr>
            <w:r w:rsidRPr="00156E75">
              <w:rPr>
                <w:rFonts w:eastAsia="Times New Roman" w:cs="Times New Roman"/>
                <w:color w:val="000000"/>
                <w:sz w:val="20"/>
                <w:szCs w:val="20"/>
                <w:lang w:eastAsia="ru-RU"/>
              </w:rPr>
              <w:t>107,4</w:t>
            </w:r>
          </w:p>
        </w:tc>
        <w:tc>
          <w:tcPr>
            <w:tcW w:w="691" w:type="dxa"/>
            <w:tcBorders>
              <w:top w:val="nil"/>
              <w:left w:val="nil"/>
              <w:bottom w:val="single" w:sz="4" w:space="0" w:color="auto"/>
              <w:right w:val="nil"/>
            </w:tcBorders>
            <w:shd w:val="clear" w:color="auto" w:fill="auto"/>
            <w:noWrap/>
            <w:vAlign w:val="bottom"/>
            <w:hideMark/>
          </w:tcPr>
          <w:p w:rsidR="00FA4411" w:rsidRPr="00156E75" w:rsidRDefault="00FA4411" w:rsidP="00156E75">
            <w:pPr>
              <w:spacing w:after="0" w:line="240" w:lineRule="auto"/>
              <w:jc w:val="right"/>
              <w:rPr>
                <w:rFonts w:eastAsia="Times New Roman" w:cs="Times New Roman"/>
                <w:color w:val="000000"/>
                <w:sz w:val="20"/>
                <w:szCs w:val="20"/>
                <w:lang w:eastAsia="ru-RU"/>
              </w:rPr>
            </w:pPr>
            <w:r w:rsidRPr="00156E75">
              <w:rPr>
                <w:rFonts w:eastAsia="Times New Roman" w:cs="Times New Roman"/>
                <w:color w:val="000000"/>
                <w:sz w:val="20"/>
                <w:szCs w:val="20"/>
                <w:lang w:eastAsia="ru-RU"/>
              </w:rPr>
              <w:t>109,5</w:t>
            </w:r>
          </w:p>
        </w:tc>
        <w:tc>
          <w:tcPr>
            <w:tcW w:w="691" w:type="dxa"/>
            <w:tcBorders>
              <w:top w:val="nil"/>
              <w:left w:val="nil"/>
              <w:bottom w:val="single" w:sz="4" w:space="0" w:color="auto"/>
              <w:right w:val="nil"/>
            </w:tcBorders>
            <w:shd w:val="clear" w:color="auto" w:fill="auto"/>
            <w:noWrap/>
            <w:vAlign w:val="bottom"/>
            <w:hideMark/>
          </w:tcPr>
          <w:p w:rsidR="00FA4411" w:rsidRPr="00156E75" w:rsidRDefault="00FA4411" w:rsidP="00156E75">
            <w:pPr>
              <w:spacing w:after="0" w:line="240" w:lineRule="auto"/>
              <w:jc w:val="right"/>
              <w:rPr>
                <w:rFonts w:eastAsia="Times New Roman" w:cs="Times New Roman"/>
                <w:color w:val="000000"/>
                <w:sz w:val="20"/>
                <w:szCs w:val="20"/>
                <w:lang w:eastAsia="ru-RU"/>
              </w:rPr>
            </w:pPr>
            <w:r w:rsidRPr="00156E75">
              <w:rPr>
                <w:rFonts w:eastAsia="Times New Roman" w:cs="Times New Roman"/>
                <w:color w:val="000000"/>
                <w:sz w:val="20"/>
                <w:szCs w:val="20"/>
                <w:lang w:eastAsia="ru-RU"/>
              </w:rPr>
              <w:t>108,1</w:t>
            </w:r>
          </w:p>
        </w:tc>
        <w:tc>
          <w:tcPr>
            <w:tcW w:w="691" w:type="dxa"/>
            <w:tcBorders>
              <w:top w:val="nil"/>
              <w:left w:val="nil"/>
              <w:bottom w:val="single" w:sz="4" w:space="0" w:color="auto"/>
              <w:right w:val="nil"/>
            </w:tcBorders>
            <w:shd w:val="clear" w:color="auto" w:fill="auto"/>
            <w:noWrap/>
            <w:vAlign w:val="bottom"/>
            <w:hideMark/>
          </w:tcPr>
          <w:p w:rsidR="00FA4411" w:rsidRPr="00156E75" w:rsidRDefault="00FA4411" w:rsidP="00156E75">
            <w:pPr>
              <w:spacing w:after="0" w:line="240" w:lineRule="auto"/>
              <w:jc w:val="right"/>
              <w:rPr>
                <w:rFonts w:eastAsia="Times New Roman" w:cs="Times New Roman"/>
                <w:color w:val="000000"/>
                <w:sz w:val="20"/>
                <w:szCs w:val="20"/>
                <w:lang w:eastAsia="ru-RU"/>
              </w:rPr>
            </w:pPr>
            <w:r w:rsidRPr="00156E75">
              <w:rPr>
                <w:rFonts w:eastAsia="Times New Roman" w:cs="Times New Roman"/>
                <w:color w:val="000000"/>
                <w:sz w:val="20"/>
                <w:szCs w:val="20"/>
                <w:lang w:eastAsia="ru-RU"/>
              </w:rPr>
              <w:t>109,7</w:t>
            </w:r>
          </w:p>
        </w:tc>
        <w:tc>
          <w:tcPr>
            <w:tcW w:w="691" w:type="dxa"/>
            <w:tcBorders>
              <w:top w:val="nil"/>
              <w:left w:val="nil"/>
              <w:bottom w:val="single" w:sz="4" w:space="0" w:color="auto"/>
              <w:right w:val="nil"/>
            </w:tcBorders>
            <w:shd w:val="clear" w:color="auto" w:fill="auto"/>
            <w:noWrap/>
            <w:vAlign w:val="bottom"/>
            <w:hideMark/>
          </w:tcPr>
          <w:p w:rsidR="00FA4411" w:rsidRPr="00156E75" w:rsidRDefault="00FA4411" w:rsidP="00156E75">
            <w:pPr>
              <w:spacing w:after="0" w:line="240" w:lineRule="auto"/>
              <w:jc w:val="right"/>
              <w:rPr>
                <w:rFonts w:eastAsia="Times New Roman" w:cs="Times New Roman"/>
                <w:color w:val="000000"/>
                <w:sz w:val="20"/>
                <w:szCs w:val="20"/>
                <w:lang w:eastAsia="ru-RU"/>
              </w:rPr>
            </w:pPr>
            <w:r w:rsidRPr="00156E75">
              <w:rPr>
                <w:rFonts w:eastAsia="Times New Roman" w:cs="Times New Roman"/>
                <w:color w:val="000000"/>
                <w:sz w:val="20"/>
                <w:szCs w:val="20"/>
                <w:lang w:eastAsia="ru-RU"/>
              </w:rPr>
              <w:t>111,2</w:t>
            </w:r>
          </w:p>
        </w:tc>
        <w:tc>
          <w:tcPr>
            <w:tcW w:w="691" w:type="dxa"/>
            <w:tcBorders>
              <w:top w:val="nil"/>
              <w:left w:val="nil"/>
              <w:bottom w:val="single" w:sz="4" w:space="0" w:color="auto"/>
              <w:right w:val="single" w:sz="8" w:space="0" w:color="auto"/>
            </w:tcBorders>
            <w:shd w:val="clear" w:color="auto" w:fill="auto"/>
            <w:noWrap/>
            <w:vAlign w:val="bottom"/>
            <w:hideMark/>
          </w:tcPr>
          <w:p w:rsidR="00FA4411" w:rsidRPr="00156E75" w:rsidRDefault="00FA4411" w:rsidP="00156E75">
            <w:pPr>
              <w:spacing w:after="0" w:line="240" w:lineRule="auto"/>
              <w:jc w:val="right"/>
              <w:rPr>
                <w:rFonts w:eastAsia="Times New Roman" w:cs="Times New Roman"/>
                <w:color w:val="000000"/>
                <w:sz w:val="20"/>
                <w:szCs w:val="20"/>
                <w:lang w:eastAsia="ru-RU"/>
              </w:rPr>
            </w:pPr>
            <w:r w:rsidRPr="00156E75">
              <w:rPr>
                <w:rFonts w:eastAsia="Times New Roman" w:cs="Times New Roman"/>
                <w:color w:val="000000"/>
                <w:sz w:val="20"/>
                <w:szCs w:val="20"/>
                <w:lang w:eastAsia="ru-RU"/>
              </w:rPr>
              <w:t>107,6</w:t>
            </w:r>
          </w:p>
        </w:tc>
      </w:tr>
      <w:tr w:rsidR="00FA4411" w:rsidRPr="00156E75" w:rsidTr="00156E75">
        <w:trPr>
          <w:trHeight w:val="285"/>
          <w:jc w:val="center"/>
        </w:trPr>
        <w:tc>
          <w:tcPr>
            <w:tcW w:w="8869" w:type="dxa"/>
            <w:gridSpan w:val="10"/>
            <w:tcBorders>
              <w:top w:val="single" w:sz="4" w:space="0" w:color="auto"/>
              <w:left w:val="single" w:sz="4" w:space="0" w:color="auto"/>
              <w:bottom w:val="single" w:sz="4" w:space="0" w:color="auto"/>
              <w:right w:val="single" w:sz="4" w:space="0" w:color="auto"/>
            </w:tcBorders>
            <w:shd w:val="clear" w:color="auto" w:fill="auto"/>
            <w:noWrap/>
            <w:vAlign w:val="bottom"/>
          </w:tcPr>
          <w:p w:rsidR="00FA4411" w:rsidRPr="00156E75" w:rsidRDefault="00FA4411" w:rsidP="00156E75">
            <w:pPr>
              <w:spacing w:after="0" w:line="240" w:lineRule="auto"/>
              <w:rPr>
                <w:rFonts w:eastAsia="Times New Roman" w:cs="Times New Roman"/>
                <w:i/>
                <w:color w:val="000000"/>
                <w:sz w:val="20"/>
                <w:szCs w:val="20"/>
                <w:lang w:eastAsia="ru-RU"/>
              </w:rPr>
            </w:pPr>
            <w:r w:rsidRPr="00156E75">
              <w:rPr>
                <w:rFonts w:eastAsia="Times New Roman" w:cs="Times New Roman"/>
                <w:bCs/>
                <w:i/>
                <w:color w:val="000000"/>
                <w:sz w:val="20"/>
                <w:szCs w:val="20"/>
                <w:lang w:eastAsia="ru-RU"/>
              </w:rPr>
              <w:t>Источник: данные КС МНЭ РК</w:t>
            </w:r>
          </w:p>
        </w:tc>
      </w:tr>
    </w:tbl>
    <w:p w:rsidR="00FA4411" w:rsidRPr="003C3F3F" w:rsidRDefault="00FA4411" w:rsidP="00FA4411">
      <w:pPr>
        <w:spacing w:after="0" w:line="240" w:lineRule="auto"/>
        <w:ind w:firstLine="709"/>
        <w:jc w:val="both"/>
        <w:rPr>
          <w:rFonts w:cs="Times New Roman"/>
          <w:szCs w:val="28"/>
        </w:rPr>
      </w:pPr>
    </w:p>
    <w:p w:rsidR="00FA4411" w:rsidRPr="003C3F3F" w:rsidRDefault="00FA4411" w:rsidP="00FA4411">
      <w:pPr>
        <w:spacing w:after="0" w:line="240" w:lineRule="auto"/>
        <w:ind w:firstLine="709"/>
        <w:jc w:val="both"/>
        <w:rPr>
          <w:rFonts w:cs="Times New Roman"/>
          <w:szCs w:val="28"/>
        </w:rPr>
      </w:pPr>
      <w:r w:rsidRPr="003C3F3F">
        <w:rPr>
          <w:rFonts w:cs="Times New Roman"/>
          <w:szCs w:val="28"/>
        </w:rPr>
        <w:t xml:space="preserve">Как следует из представленных данных, за рассматриваемый период наибольший темп роста цен был зафиксирован по медикаментам, лечебному оборудованию и аппаратуре в 2015 году (на 30,7%). В большей степени </w:t>
      </w:r>
      <w:r w:rsidRPr="003C3F3F">
        <w:rPr>
          <w:rFonts w:cs="Times New Roman"/>
          <w:szCs w:val="28"/>
        </w:rPr>
        <w:lastRenderedPageBreak/>
        <w:t xml:space="preserve">данный рост был обеспечен ростом цен на медикаменты (рост цен оставил 31,3%) и на приобретённые потребителями лечебное оборудование и аппараты (на 26,4%). Данная ситуация сложилась в большей степени за счет перехода к плавающему валютному курсу и соответственно удорожанию импортных товаров. </w:t>
      </w:r>
    </w:p>
    <w:p w:rsidR="00FA4411" w:rsidRPr="003C3F3F" w:rsidRDefault="00FA4411" w:rsidP="00FA4411">
      <w:pPr>
        <w:spacing w:after="0" w:line="240" w:lineRule="auto"/>
        <w:ind w:firstLine="709"/>
        <w:jc w:val="both"/>
        <w:rPr>
          <w:rFonts w:cs="Times New Roman"/>
          <w:szCs w:val="28"/>
        </w:rPr>
      </w:pPr>
      <w:r w:rsidRPr="003C3F3F">
        <w:rPr>
          <w:rFonts w:cs="Times New Roman"/>
          <w:b/>
          <w:szCs w:val="28"/>
        </w:rPr>
        <w:t>Медикаменты и оборудование</w:t>
      </w:r>
      <w:r w:rsidRPr="003C3F3F">
        <w:rPr>
          <w:rFonts w:cs="Times New Roman"/>
          <w:szCs w:val="28"/>
        </w:rPr>
        <w:t>.</w:t>
      </w:r>
    </w:p>
    <w:p w:rsidR="00FA4411" w:rsidRPr="003C3F3F" w:rsidRDefault="00FA4411" w:rsidP="00FA4411">
      <w:pPr>
        <w:spacing w:after="0" w:line="240" w:lineRule="auto"/>
        <w:ind w:firstLine="709"/>
        <w:jc w:val="both"/>
        <w:rPr>
          <w:rFonts w:cs="Times New Roman"/>
          <w:szCs w:val="28"/>
        </w:rPr>
      </w:pPr>
      <w:r w:rsidRPr="003C3F3F">
        <w:rPr>
          <w:rFonts w:cs="Times New Roman"/>
          <w:szCs w:val="28"/>
        </w:rPr>
        <w:t xml:space="preserve">Данная категория в составе индекса потребительских цен наиболее широко представлена количеством товарных позиций (см. Приложение 1). Укрупненно они объединены в фармацевтические препараты, прочую продукцию (медицинский бинт, вата, пластырь) и лечебное оборудование и аппараты, приобретаемые потребителями для собственного использования. </w:t>
      </w:r>
    </w:p>
    <w:p w:rsidR="00FA4411" w:rsidRPr="003C3F3F" w:rsidRDefault="00FA4411" w:rsidP="00FA4411">
      <w:pPr>
        <w:spacing w:after="0" w:line="240" w:lineRule="auto"/>
        <w:ind w:firstLine="709"/>
        <w:jc w:val="both"/>
        <w:rPr>
          <w:rFonts w:cs="Times New Roman"/>
          <w:szCs w:val="28"/>
        </w:rPr>
      </w:pPr>
      <w:r w:rsidRPr="003C3F3F">
        <w:rPr>
          <w:rFonts w:cs="Times New Roman"/>
          <w:szCs w:val="28"/>
        </w:rPr>
        <w:t xml:space="preserve">В 2010 году по группам товаров, входящим в категорию медикаментов и оборудования наблюдался рост, значительно превышающий общий уровень цен по стране по сосудорасширяющим препаратам: Актюбинская область- на 16,6%, Атырауская – на 41,6%, Восточно-Казахстанская, Западно-Казахстанская, Жамбылская и Карагандинская области – на 14% в среднем, Костанайская – на 18,8%. Отдельные скачки цен наблюдались на желудочные препараты по Атырауской области на 36,6%, а также на антибиотики – на 48,1%, по Южно-Казахстанской области на сиропы от кашля на 26,3%. Отдельно следует отметить Северо-Казахстанскую область, где значительный рост цен наблюдался на ряд товаров: сосудорасширяющие- на 13,5%, антисептические – на 20%, анальгетики- на 30,6%, почечные, мочегонные и травяные сборы поднялись на 19% в среднем, среди прочей продукции значительный рост здесь наблюдался по пластырям – на 24%. </w:t>
      </w:r>
    </w:p>
    <w:p w:rsidR="00FA4411" w:rsidRDefault="007731B7" w:rsidP="00FA4411">
      <w:pPr>
        <w:spacing w:after="0" w:line="240" w:lineRule="auto"/>
        <w:ind w:firstLine="709"/>
        <w:jc w:val="both"/>
        <w:rPr>
          <w:rFonts w:cs="Times New Roman"/>
          <w:szCs w:val="28"/>
        </w:rPr>
      </w:pPr>
      <w:r>
        <w:rPr>
          <w:rFonts w:cs="Times New Roman"/>
          <w:szCs w:val="28"/>
        </w:rPr>
        <w:t>В</w:t>
      </w:r>
      <w:r w:rsidR="00FA4411" w:rsidRPr="003C3F3F">
        <w:rPr>
          <w:rFonts w:cs="Times New Roman"/>
          <w:szCs w:val="28"/>
        </w:rPr>
        <w:t xml:space="preserve"> среднем по медикаментам и оборудованию р</w:t>
      </w:r>
      <w:r w:rsidR="00226313">
        <w:rPr>
          <w:rFonts w:cs="Times New Roman"/>
          <w:szCs w:val="28"/>
        </w:rPr>
        <w:t>ост цен составил 7,3% (Рисунок 2</w:t>
      </w:r>
      <w:r w:rsidR="00FA4411" w:rsidRPr="003C3F3F">
        <w:rPr>
          <w:rFonts w:cs="Times New Roman"/>
          <w:szCs w:val="28"/>
        </w:rPr>
        <w:t>). Агрегированные данные по входящим подгруппам товаров в данную категорию не превысили ИПЦ по республике – 7,8%, за счет сравнительно небольшого темпа роста цен н</w:t>
      </w:r>
      <w:r>
        <w:rPr>
          <w:rFonts w:cs="Times New Roman"/>
          <w:szCs w:val="28"/>
        </w:rPr>
        <w:t>а иные товары данной категории</w:t>
      </w:r>
      <w:r w:rsidR="00FA4411" w:rsidRPr="003C3F3F">
        <w:rPr>
          <w:rFonts w:cs="Times New Roman"/>
          <w:szCs w:val="28"/>
        </w:rPr>
        <w:t>.</w:t>
      </w:r>
    </w:p>
    <w:p w:rsidR="00E57525" w:rsidRPr="00E57525" w:rsidRDefault="00E57525" w:rsidP="00E57525">
      <w:pPr>
        <w:pStyle w:val="af1"/>
        <w:ind w:firstLine="709"/>
        <w:jc w:val="both"/>
        <w:rPr>
          <w:rFonts w:cs="Times New Roman"/>
          <w:b w:val="0"/>
          <w:color w:val="auto"/>
          <w:sz w:val="28"/>
          <w:szCs w:val="28"/>
        </w:rPr>
      </w:pPr>
      <w:r w:rsidRPr="00733A8A">
        <w:rPr>
          <w:color w:val="auto"/>
          <w:sz w:val="28"/>
          <w:szCs w:val="28"/>
        </w:rPr>
        <w:t xml:space="preserve">Рисунок </w:t>
      </w:r>
      <w:r w:rsidR="00CA443F" w:rsidRPr="00733A8A">
        <w:rPr>
          <w:color w:val="auto"/>
          <w:sz w:val="28"/>
          <w:szCs w:val="28"/>
        </w:rPr>
        <w:fldChar w:fldCharType="begin"/>
      </w:r>
      <w:r w:rsidRPr="00733A8A">
        <w:rPr>
          <w:color w:val="auto"/>
          <w:sz w:val="28"/>
          <w:szCs w:val="28"/>
        </w:rPr>
        <w:instrText xml:space="preserve"> SEQ Рисунок \* ARABIC </w:instrText>
      </w:r>
      <w:r w:rsidR="00CA443F" w:rsidRPr="00733A8A">
        <w:rPr>
          <w:color w:val="auto"/>
          <w:sz w:val="28"/>
          <w:szCs w:val="28"/>
        </w:rPr>
        <w:fldChar w:fldCharType="separate"/>
      </w:r>
      <w:r w:rsidR="00F50120">
        <w:rPr>
          <w:noProof/>
          <w:color w:val="auto"/>
          <w:sz w:val="28"/>
          <w:szCs w:val="28"/>
        </w:rPr>
        <w:t>2</w:t>
      </w:r>
      <w:r w:rsidR="00CA443F" w:rsidRPr="00733A8A">
        <w:rPr>
          <w:color w:val="auto"/>
          <w:sz w:val="28"/>
          <w:szCs w:val="28"/>
        </w:rPr>
        <w:fldChar w:fldCharType="end"/>
      </w:r>
      <w:r w:rsidRPr="00733A8A">
        <w:rPr>
          <w:rFonts w:cs="Times New Roman"/>
          <w:color w:val="auto"/>
          <w:sz w:val="28"/>
          <w:szCs w:val="28"/>
        </w:rPr>
        <w:t>. Индексы цен на медикаменты, лечебное оборудование, аппаратуру и ИПЦ</w:t>
      </w:r>
    </w:p>
    <w:p w:rsidR="00FA4411" w:rsidRPr="003C3F3F" w:rsidRDefault="00FA4411" w:rsidP="00226313">
      <w:pPr>
        <w:spacing w:after="0" w:line="240" w:lineRule="auto"/>
        <w:ind w:firstLine="709"/>
        <w:rPr>
          <w:rFonts w:cs="Times New Roman"/>
          <w:szCs w:val="28"/>
        </w:rPr>
      </w:pPr>
      <w:r w:rsidRPr="003C3F3F">
        <w:rPr>
          <w:rFonts w:cs="Times New Roman"/>
          <w:noProof/>
          <w:szCs w:val="28"/>
          <w:lang w:eastAsia="ru-RU"/>
        </w:rPr>
        <w:drawing>
          <wp:inline distT="0" distB="0" distL="0" distR="0">
            <wp:extent cx="5135526" cy="2424223"/>
            <wp:effectExtent l="0" t="0" r="27305" b="14605"/>
            <wp:docPr id="7" name="Диаграмма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FA4411" w:rsidRPr="00226313" w:rsidRDefault="00FA4411" w:rsidP="00FA4411">
      <w:pPr>
        <w:spacing w:after="0" w:line="240" w:lineRule="auto"/>
        <w:ind w:firstLine="709"/>
        <w:jc w:val="both"/>
        <w:rPr>
          <w:rFonts w:cs="Times New Roman"/>
          <w:i/>
          <w:sz w:val="24"/>
          <w:szCs w:val="28"/>
        </w:rPr>
      </w:pPr>
      <w:r w:rsidRPr="00226313">
        <w:rPr>
          <w:rFonts w:cs="Times New Roman"/>
          <w:i/>
          <w:sz w:val="24"/>
          <w:szCs w:val="28"/>
        </w:rPr>
        <w:t>Источник: данные КС МНЭ РК</w:t>
      </w:r>
    </w:p>
    <w:p w:rsidR="00342C10" w:rsidRDefault="00342C10" w:rsidP="00FA4411">
      <w:pPr>
        <w:spacing w:after="0" w:line="240" w:lineRule="auto"/>
        <w:ind w:firstLine="709"/>
        <w:jc w:val="both"/>
        <w:rPr>
          <w:rFonts w:cs="Times New Roman"/>
          <w:szCs w:val="28"/>
        </w:rPr>
      </w:pPr>
    </w:p>
    <w:p w:rsidR="00FA4411" w:rsidRPr="003C3F3F" w:rsidRDefault="00FA4411" w:rsidP="00FA4411">
      <w:pPr>
        <w:spacing w:after="0" w:line="240" w:lineRule="auto"/>
        <w:ind w:firstLine="709"/>
        <w:jc w:val="both"/>
        <w:rPr>
          <w:rFonts w:cs="Times New Roman"/>
          <w:szCs w:val="28"/>
        </w:rPr>
      </w:pPr>
      <w:r w:rsidRPr="003C3F3F">
        <w:rPr>
          <w:rFonts w:cs="Times New Roman"/>
          <w:szCs w:val="28"/>
        </w:rPr>
        <w:lastRenderedPageBreak/>
        <w:t>По данным за 2011 год средний уровень цен по стране вырос на 7,4%, при этом значительно ниже наблюдался рост цен по фармацевтическим препаратам – на 3%, и по лечебному оборудованию- 3,8%. В составе данных подгрупп товаров исключение составили Кызылординская область, рост цен на витамины был порядка 17%, и Атырауская область с ростом цен на сиропы от кашля на 13%. Цены на лечебное оборудование значительно превысили общий уровень цен в Актюбинской области (на 17%) и в г. Астана (на 20%) на корригирующие очки. Уровень цен на прочую продукцию значительно превысил общий уровень цен по стране в виду скачкообразного роста на вату по республике в целом (на 21,7%), а также по Акмолинской (16%), Атырауской, Костанайская, Карагандинская (в среднем 13%), Восточно-Казахстанской и Павлодарской (33%), а также Южно-Казхастанской (60%) областям.</w:t>
      </w:r>
    </w:p>
    <w:p w:rsidR="00FA4411" w:rsidRPr="003C3F3F" w:rsidRDefault="00FA4411" w:rsidP="00FA4411">
      <w:pPr>
        <w:spacing w:after="0" w:line="240" w:lineRule="auto"/>
        <w:ind w:firstLine="709"/>
        <w:jc w:val="both"/>
        <w:rPr>
          <w:rFonts w:cs="Times New Roman"/>
          <w:b/>
          <w:szCs w:val="28"/>
        </w:rPr>
      </w:pPr>
      <w:r w:rsidRPr="003C3F3F">
        <w:rPr>
          <w:rFonts w:cs="Times New Roman"/>
          <w:szCs w:val="28"/>
        </w:rPr>
        <w:t xml:space="preserve">В 2012 году год средний уровень цен по стране вырос на 6%, при этом, как и в 2011 году, значительно ниже наблюдался рост цен по фармацевтическим препаратам – на 2,6%, и по лечебному оборудованию- 2,6%. Отдельно следует выделить Актюбинскую область, где наблюдалось снижение цен по таким категориям товаров, как витамины (на 2%), антисептические (1%), корвалол (6,5%), гормональные (7,8%), почечные (7%), мочегонные (2%) и травяные сборы (3%), а также по категориям прочей продукции: шприцы (6%) и бинты (5%). </w:t>
      </w:r>
      <w:r w:rsidRPr="003C3F3F">
        <w:rPr>
          <w:rFonts w:cs="Times New Roman"/>
          <w:b/>
          <w:szCs w:val="28"/>
        </w:rPr>
        <w:t>Следует отметить, что за рассматриваемый в анализе период изменение уровня цен в 2012 году по сравнению с остальными периодами минимальное.</w:t>
      </w:r>
    </w:p>
    <w:p w:rsidR="00FA4411" w:rsidRPr="003C3F3F" w:rsidRDefault="00FA4411" w:rsidP="00FA4411">
      <w:pPr>
        <w:spacing w:after="0" w:line="240" w:lineRule="auto"/>
        <w:ind w:firstLine="709"/>
        <w:jc w:val="both"/>
        <w:rPr>
          <w:rFonts w:cs="Times New Roman"/>
          <w:szCs w:val="28"/>
        </w:rPr>
      </w:pPr>
      <w:r w:rsidRPr="003C3F3F">
        <w:rPr>
          <w:rFonts w:cs="Times New Roman"/>
          <w:szCs w:val="28"/>
        </w:rPr>
        <w:t>В 2013 году год средний уровень цен по стране вырос на 4,8%, при этом сохранилась тенденция к превышению общего уровня цен относительно уровня цен в здравоохранении, наблюдаемая в 2010-2012 годах: значительно ниже наблюдался рост цен по фармацевтическим препаратам – на 3,4%, и по лечебному оборудованию- 2,6%. Сохранилась тенденция по снижению уровня цен в Актюбинской области на сосудорасширяющие препараты (на 2%). Снизились цены в ряде других областей: в Атырауской на антибиотики (на 7%), желудочные (на 4%) и почечные (на 3,4%); по Павлодарской области на жаропонижающие (на 2%) и гормональные (на 8%). Значительно выросли цены на бинты (21%) и вату (19%) в Жамбылской области. В целом, рассматриваемый период характеризовался умеренным, равномерным и относительно низким уровнем роста цен как по регионам, так и по видам товаров.</w:t>
      </w:r>
    </w:p>
    <w:p w:rsidR="00FA4411" w:rsidRPr="003C3F3F" w:rsidRDefault="00FA4411" w:rsidP="00FA4411">
      <w:pPr>
        <w:spacing w:after="0" w:line="240" w:lineRule="auto"/>
        <w:ind w:firstLine="709"/>
        <w:jc w:val="both"/>
        <w:rPr>
          <w:rFonts w:cs="Times New Roman"/>
          <w:szCs w:val="28"/>
        </w:rPr>
      </w:pPr>
      <w:r w:rsidRPr="003C3F3F">
        <w:rPr>
          <w:rFonts w:cs="Times New Roman"/>
          <w:szCs w:val="28"/>
        </w:rPr>
        <w:t xml:space="preserve">Серьёзные ценовые колебания на рынке медикаментов и лечебного оборудования наблюдаются с 2014 года, когда средний уровень цен по данной категории товаров возрос на 12,7% исключительно практически за счет роста цен на фармацевтические изделия на 13,1%. Все виды товаров, входящих в данную категорию, возросли более чем на 10% по сравнению с предыдущим годом. Необходимо отметить динамику цен по Актюбинской области: здесь цены на фармацевтические товары возросли на 25,5%, что является максимальным показателем по республике на соответствующий год. Рост </w:t>
      </w:r>
      <w:r w:rsidRPr="003C3F3F">
        <w:rPr>
          <w:rFonts w:cs="Times New Roman"/>
          <w:szCs w:val="28"/>
        </w:rPr>
        <w:lastRenderedPageBreak/>
        <w:t>наблюдался по всем подгруппам. Аналогично, по всем подгруппам товаров выросли цены в более чем на 10% в Акмолинской, Восточно-Казахстанской и Мангистауской областях.</w:t>
      </w:r>
    </w:p>
    <w:p w:rsidR="00FA4411" w:rsidRPr="003C3F3F" w:rsidRDefault="00FA4411" w:rsidP="00FA4411">
      <w:pPr>
        <w:spacing w:after="0" w:line="240" w:lineRule="auto"/>
        <w:ind w:firstLine="709"/>
        <w:jc w:val="both"/>
        <w:rPr>
          <w:rFonts w:cs="Times New Roman"/>
          <w:szCs w:val="28"/>
        </w:rPr>
      </w:pPr>
      <w:r w:rsidRPr="003C3F3F">
        <w:rPr>
          <w:rFonts w:cs="Times New Roman"/>
          <w:szCs w:val="28"/>
        </w:rPr>
        <w:t xml:space="preserve">Рассматривая показатели динамики цен в 2015 году отмечаем сохранение тенденции скачкообразного роста цен: по республике ИПЦ составил 13,6%, фармацевтические препараты подорожали на 31,3% к концу года, а также в отличие от предыдущего периода наблюдался серьезный рост по категории лечебное оборудование – на 26,4%. В целом, медикаменты и оборудование подорожали на 30,7%. Наибольшее значение роста цен наблюдалось в Костанайской и Кызылординской областях по товарной позиции «Корвалол» - 89% и 86,2% соответственно. По данной товарной позиции в среднем по регионам рост наблюдался на уровне 51%. Следует отметить, что в 2015 году все товарные позиции среди фармацевтических препаратов, входящих в ИПЦ, продемонстрировали рост более 22% по всем регионам Казахстана. </w:t>
      </w:r>
    </w:p>
    <w:p w:rsidR="00FA4411" w:rsidRPr="003C3F3F" w:rsidRDefault="00FA4411" w:rsidP="00FA4411">
      <w:pPr>
        <w:spacing w:after="0" w:line="240" w:lineRule="auto"/>
        <w:ind w:firstLine="709"/>
        <w:jc w:val="both"/>
        <w:rPr>
          <w:rFonts w:cs="Times New Roman"/>
          <w:szCs w:val="28"/>
        </w:rPr>
      </w:pPr>
      <w:r w:rsidRPr="003C3F3F">
        <w:rPr>
          <w:rFonts w:cs="Times New Roman"/>
          <w:szCs w:val="28"/>
        </w:rPr>
        <w:t>В 2016 году средний уровень цен по стране вырос на 8,5% по сравнению с предыдущим периодом, прочая продукция и лечебное оборудование возросли более чем на 10%. Фармацевтические товары продемонстрировали рост в 17,7%. В ряде областей наблюдалась скачкообразная инфляция: в Атырауской области сиропы от кашля подорожали на 70,6%; в Костанайской и Павлодарской областях анальгетики - на 42,5% и 60,7%соответственно. Несмотря на то, что средний уровень цен по категориям прочей продукции возрос на 10%, что незначительно выше средней инфляции по стране в целом, в ряде регионов значительно выросли цены на шприцы: рост по Казахстану составил 21,7%, в Кызылординской и Алматинской областях роста цен практически не наблюдалось, в то время, как во всех остальных регионах цены выросли более чем на 20%. Среди лечебного оборудования, возросли более чем на 15% цены на устройства для измерения кровяного давления. Следует отметить, что в 2016 году явно прослеживаются влияние валютного фактора на динамику цен, а также влияние отложенного спроса (наибольший ценовой рост продемонстрировали товары, не являющиеся товарами первой необходимости).</w:t>
      </w:r>
    </w:p>
    <w:p w:rsidR="00DC0088" w:rsidRDefault="00FA4411" w:rsidP="00DC0088">
      <w:pPr>
        <w:spacing w:after="0" w:line="240" w:lineRule="auto"/>
        <w:ind w:firstLine="709"/>
        <w:jc w:val="both"/>
        <w:rPr>
          <w:rFonts w:cs="Times New Roman"/>
          <w:szCs w:val="28"/>
        </w:rPr>
      </w:pPr>
      <w:r w:rsidRPr="003C3F3F">
        <w:rPr>
          <w:rFonts w:cs="Times New Roman"/>
          <w:szCs w:val="28"/>
        </w:rPr>
        <w:t xml:space="preserve">Общий уровень цен по Казахстану в 2017 году возрос на 7,1%, при этом рост цен на медикаменты и оборудование был ниже роста цен на рынке потребительских товаров и услуг и составил 6,5%, включая прочие товары и лечебное оборудование –  каждая из групп возросла на 5%. В региональном аспекте выделяются Мангистауская и Алматинская области, где средний уровень цен по фармацевтическим препаратам возрос на 15% и 14% соответственно. </w:t>
      </w:r>
    </w:p>
    <w:p w:rsidR="00DC0088" w:rsidRDefault="00DC0088" w:rsidP="00DC0088">
      <w:r>
        <w:br w:type="page"/>
      </w:r>
    </w:p>
    <w:p w:rsidR="00226313" w:rsidRPr="00DC0088" w:rsidRDefault="00226313" w:rsidP="00DC0088">
      <w:pPr>
        <w:spacing w:after="0" w:line="240" w:lineRule="auto"/>
        <w:ind w:firstLine="709"/>
        <w:jc w:val="both"/>
        <w:rPr>
          <w:rFonts w:cs="Times New Roman"/>
          <w:szCs w:val="28"/>
        </w:rPr>
      </w:pPr>
    </w:p>
    <w:p w:rsidR="00342C10" w:rsidRDefault="00FA4411" w:rsidP="00FA4411">
      <w:pPr>
        <w:spacing w:after="0" w:line="240" w:lineRule="auto"/>
        <w:ind w:firstLine="709"/>
        <w:jc w:val="both"/>
        <w:rPr>
          <w:rFonts w:cs="Times New Roman"/>
          <w:b/>
          <w:szCs w:val="28"/>
        </w:rPr>
      </w:pPr>
      <w:r w:rsidRPr="003C3F3F">
        <w:rPr>
          <w:rFonts w:cs="Times New Roman"/>
          <w:b/>
          <w:szCs w:val="28"/>
        </w:rPr>
        <w:t>Таблица 3. Темп роста медицинской инфляции и ИПЦ</w:t>
      </w:r>
      <w:r w:rsidR="00226313">
        <w:rPr>
          <w:rFonts w:cs="Times New Roman"/>
          <w:b/>
          <w:szCs w:val="28"/>
        </w:rPr>
        <w:t>, %</w:t>
      </w:r>
    </w:p>
    <w:p w:rsidR="00CF1D89" w:rsidRPr="00CF1D89" w:rsidRDefault="00CA443F" w:rsidP="00FA4411">
      <w:pPr>
        <w:spacing w:after="0" w:line="240" w:lineRule="auto"/>
        <w:ind w:firstLine="709"/>
        <w:jc w:val="both"/>
        <w:rPr>
          <w:rFonts w:cs="Times New Roman"/>
          <w:b/>
          <w:szCs w:val="28"/>
        </w:rPr>
      </w:pPr>
      <w:r w:rsidRPr="003C3F3F">
        <w:fldChar w:fldCharType="begin"/>
      </w:r>
      <w:r w:rsidR="00FA4411" w:rsidRPr="003C3F3F">
        <w:instrText xml:space="preserve"> LINK </w:instrText>
      </w:r>
      <w:r w:rsidR="009D3300">
        <w:instrText xml:space="preserve">Excel.Sheet.12 "C:\\Users\\zagidullina_g\\Downloads\\Инфляция- отчет - копия\\Инфляция- отчет - копия\\Инфляция (1).xlsx" "Темп инфляции!R3C1:R13C10" </w:instrText>
      </w:r>
      <w:r w:rsidR="00FA4411" w:rsidRPr="003C3F3F">
        <w:instrText xml:space="preserve">\a \f 4 \h  \* MERGEFORMAT </w:instrText>
      </w:r>
      <w:r w:rsidRPr="003C3F3F">
        <w:fldChar w:fldCharType="separate"/>
      </w:r>
    </w:p>
    <w:tbl>
      <w:tblPr>
        <w:tblW w:w="9362" w:type="dxa"/>
        <w:tblInd w:w="108" w:type="dxa"/>
        <w:tblLook w:val="04A0" w:firstRow="1" w:lastRow="0" w:firstColumn="1" w:lastColumn="0" w:noHBand="0" w:noVBand="1"/>
      </w:tblPr>
      <w:tblGrid>
        <w:gridCol w:w="2382"/>
        <w:gridCol w:w="276"/>
        <w:gridCol w:w="944"/>
        <w:gridCol w:w="236"/>
        <w:gridCol w:w="724"/>
        <w:gridCol w:w="236"/>
        <w:gridCol w:w="724"/>
        <w:gridCol w:w="236"/>
        <w:gridCol w:w="724"/>
        <w:gridCol w:w="236"/>
        <w:gridCol w:w="724"/>
        <w:gridCol w:w="236"/>
        <w:gridCol w:w="724"/>
        <w:gridCol w:w="236"/>
        <w:gridCol w:w="724"/>
      </w:tblGrid>
      <w:tr w:rsidR="00226313" w:rsidRPr="00CF1D89" w:rsidTr="00226313">
        <w:trPr>
          <w:divId w:val="872570649"/>
          <w:trHeight w:val="285"/>
        </w:trPr>
        <w:tc>
          <w:tcPr>
            <w:tcW w:w="2382" w:type="dxa"/>
            <w:tcBorders>
              <w:top w:val="single" w:sz="8" w:space="0" w:color="auto"/>
              <w:left w:val="single" w:sz="8" w:space="0" w:color="auto"/>
              <w:bottom w:val="single" w:sz="8" w:space="0" w:color="auto"/>
              <w:right w:val="nil"/>
            </w:tcBorders>
            <w:shd w:val="clear" w:color="auto" w:fill="auto"/>
            <w:noWrap/>
            <w:vAlign w:val="center"/>
            <w:hideMark/>
          </w:tcPr>
          <w:p w:rsidR="00226313" w:rsidRPr="00CF1D89" w:rsidRDefault="00226313" w:rsidP="00CF1D89">
            <w:pPr>
              <w:spacing w:after="0" w:line="240" w:lineRule="auto"/>
              <w:jc w:val="center"/>
              <w:rPr>
                <w:rFonts w:ascii="Century Gothic" w:eastAsia="Times New Roman" w:hAnsi="Century Gothic" w:cs="Calibri"/>
                <w:color w:val="000000"/>
                <w:sz w:val="16"/>
                <w:szCs w:val="16"/>
                <w:lang w:eastAsia="ru-RU"/>
              </w:rPr>
            </w:pPr>
            <w:r w:rsidRPr="00CF1D89">
              <w:rPr>
                <w:rFonts w:eastAsia="Times New Roman" w:cs="Times New Roman"/>
                <w:color w:val="000000"/>
                <w:sz w:val="24"/>
                <w:szCs w:val="24"/>
                <w:lang w:eastAsia="ru-RU"/>
              </w:rPr>
              <w:t>Наименование</w:t>
            </w:r>
          </w:p>
        </w:tc>
        <w:tc>
          <w:tcPr>
            <w:tcW w:w="1220" w:type="dxa"/>
            <w:gridSpan w:val="2"/>
            <w:tcBorders>
              <w:top w:val="single" w:sz="8" w:space="0" w:color="auto"/>
              <w:left w:val="nil"/>
              <w:bottom w:val="single" w:sz="8" w:space="0" w:color="auto"/>
              <w:right w:val="nil"/>
            </w:tcBorders>
            <w:shd w:val="clear" w:color="auto" w:fill="auto"/>
            <w:noWrap/>
            <w:vAlign w:val="center"/>
            <w:hideMark/>
          </w:tcPr>
          <w:p w:rsidR="00226313" w:rsidRPr="00CF1D89" w:rsidRDefault="00226313" w:rsidP="00CF1D89">
            <w:pPr>
              <w:spacing w:after="0" w:line="240" w:lineRule="auto"/>
              <w:jc w:val="center"/>
              <w:rPr>
                <w:rFonts w:eastAsia="Times New Roman" w:cs="Times New Roman"/>
                <w:b/>
                <w:bCs/>
                <w:color w:val="000000"/>
                <w:sz w:val="24"/>
                <w:szCs w:val="24"/>
                <w:lang w:eastAsia="ru-RU"/>
              </w:rPr>
            </w:pPr>
            <w:r w:rsidRPr="00CF1D89">
              <w:rPr>
                <w:rFonts w:eastAsia="Times New Roman" w:cs="Times New Roman"/>
                <w:b/>
                <w:bCs/>
                <w:color w:val="000000"/>
                <w:sz w:val="24"/>
                <w:szCs w:val="24"/>
                <w:lang w:eastAsia="ru-RU"/>
              </w:rPr>
              <w:t>2011</w:t>
            </w:r>
          </w:p>
        </w:tc>
        <w:tc>
          <w:tcPr>
            <w:tcW w:w="960" w:type="dxa"/>
            <w:gridSpan w:val="2"/>
            <w:tcBorders>
              <w:top w:val="single" w:sz="8" w:space="0" w:color="auto"/>
              <w:left w:val="nil"/>
              <w:bottom w:val="single" w:sz="8" w:space="0" w:color="auto"/>
              <w:right w:val="nil"/>
            </w:tcBorders>
            <w:shd w:val="clear" w:color="auto" w:fill="auto"/>
            <w:noWrap/>
            <w:vAlign w:val="center"/>
            <w:hideMark/>
          </w:tcPr>
          <w:p w:rsidR="00226313" w:rsidRPr="00CF1D89" w:rsidRDefault="00226313" w:rsidP="00CF1D89">
            <w:pPr>
              <w:spacing w:after="0" w:line="240" w:lineRule="auto"/>
              <w:jc w:val="center"/>
              <w:rPr>
                <w:rFonts w:eastAsia="Times New Roman" w:cs="Times New Roman"/>
                <w:b/>
                <w:bCs/>
                <w:color w:val="000000"/>
                <w:sz w:val="24"/>
                <w:szCs w:val="24"/>
                <w:lang w:eastAsia="ru-RU"/>
              </w:rPr>
            </w:pPr>
            <w:r w:rsidRPr="00CF1D89">
              <w:rPr>
                <w:rFonts w:eastAsia="Times New Roman" w:cs="Times New Roman"/>
                <w:b/>
                <w:bCs/>
                <w:color w:val="000000"/>
                <w:sz w:val="24"/>
                <w:szCs w:val="24"/>
                <w:lang w:eastAsia="ru-RU"/>
              </w:rPr>
              <w:t>2012</w:t>
            </w:r>
          </w:p>
        </w:tc>
        <w:tc>
          <w:tcPr>
            <w:tcW w:w="960" w:type="dxa"/>
            <w:gridSpan w:val="2"/>
            <w:tcBorders>
              <w:top w:val="single" w:sz="8" w:space="0" w:color="auto"/>
              <w:left w:val="nil"/>
              <w:bottom w:val="single" w:sz="8" w:space="0" w:color="auto"/>
              <w:right w:val="nil"/>
            </w:tcBorders>
            <w:shd w:val="clear" w:color="auto" w:fill="auto"/>
            <w:noWrap/>
            <w:vAlign w:val="center"/>
            <w:hideMark/>
          </w:tcPr>
          <w:p w:rsidR="00226313" w:rsidRPr="00CF1D89" w:rsidRDefault="00226313" w:rsidP="00CF1D89">
            <w:pPr>
              <w:spacing w:after="0" w:line="240" w:lineRule="auto"/>
              <w:jc w:val="center"/>
              <w:rPr>
                <w:rFonts w:eastAsia="Times New Roman" w:cs="Times New Roman"/>
                <w:b/>
                <w:bCs/>
                <w:color w:val="000000"/>
                <w:sz w:val="24"/>
                <w:szCs w:val="24"/>
                <w:lang w:eastAsia="ru-RU"/>
              </w:rPr>
            </w:pPr>
            <w:r w:rsidRPr="00CF1D89">
              <w:rPr>
                <w:rFonts w:eastAsia="Times New Roman" w:cs="Times New Roman"/>
                <w:b/>
                <w:bCs/>
                <w:color w:val="000000"/>
                <w:sz w:val="24"/>
                <w:szCs w:val="24"/>
                <w:lang w:eastAsia="ru-RU"/>
              </w:rPr>
              <w:t>2013</w:t>
            </w:r>
          </w:p>
        </w:tc>
        <w:tc>
          <w:tcPr>
            <w:tcW w:w="960" w:type="dxa"/>
            <w:gridSpan w:val="2"/>
            <w:tcBorders>
              <w:top w:val="single" w:sz="8" w:space="0" w:color="auto"/>
              <w:left w:val="nil"/>
              <w:bottom w:val="single" w:sz="8" w:space="0" w:color="auto"/>
              <w:right w:val="nil"/>
            </w:tcBorders>
            <w:shd w:val="clear" w:color="auto" w:fill="auto"/>
            <w:noWrap/>
            <w:vAlign w:val="center"/>
            <w:hideMark/>
          </w:tcPr>
          <w:p w:rsidR="00226313" w:rsidRPr="00CF1D89" w:rsidRDefault="00226313" w:rsidP="00CF1D89">
            <w:pPr>
              <w:spacing w:after="0" w:line="240" w:lineRule="auto"/>
              <w:jc w:val="center"/>
              <w:rPr>
                <w:rFonts w:eastAsia="Times New Roman" w:cs="Times New Roman"/>
                <w:b/>
                <w:bCs/>
                <w:color w:val="000000"/>
                <w:sz w:val="24"/>
                <w:szCs w:val="24"/>
                <w:lang w:eastAsia="ru-RU"/>
              </w:rPr>
            </w:pPr>
            <w:r w:rsidRPr="00CF1D89">
              <w:rPr>
                <w:rFonts w:eastAsia="Times New Roman" w:cs="Times New Roman"/>
                <w:b/>
                <w:bCs/>
                <w:color w:val="000000"/>
                <w:sz w:val="24"/>
                <w:szCs w:val="24"/>
                <w:lang w:eastAsia="ru-RU"/>
              </w:rPr>
              <w:t>2014</w:t>
            </w:r>
          </w:p>
        </w:tc>
        <w:tc>
          <w:tcPr>
            <w:tcW w:w="960" w:type="dxa"/>
            <w:gridSpan w:val="2"/>
            <w:tcBorders>
              <w:top w:val="single" w:sz="8" w:space="0" w:color="auto"/>
              <w:left w:val="nil"/>
              <w:bottom w:val="single" w:sz="8" w:space="0" w:color="auto"/>
              <w:right w:val="nil"/>
            </w:tcBorders>
            <w:shd w:val="clear" w:color="auto" w:fill="auto"/>
            <w:noWrap/>
            <w:vAlign w:val="center"/>
            <w:hideMark/>
          </w:tcPr>
          <w:p w:rsidR="00226313" w:rsidRPr="00CF1D89" w:rsidRDefault="00226313" w:rsidP="00CF1D89">
            <w:pPr>
              <w:spacing w:after="0" w:line="240" w:lineRule="auto"/>
              <w:jc w:val="center"/>
              <w:rPr>
                <w:rFonts w:eastAsia="Times New Roman" w:cs="Times New Roman"/>
                <w:b/>
                <w:bCs/>
                <w:color w:val="000000"/>
                <w:sz w:val="24"/>
                <w:szCs w:val="24"/>
                <w:lang w:eastAsia="ru-RU"/>
              </w:rPr>
            </w:pPr>
            <w:r w:rsidRPr="00CF1D89">
              <w:rPr>
                <w:rFonts w:eastAsia="Times New Roman" w:cs="Times New Roman"/>
                <w:b/>
                <w:bCs/>
                <w:color w:val="000000"/>
                <w:sz w:val="24"/>
                <w:szCs w:val="24"/>
                <w:lang w:eastAsia="ru-RU"/>
              </w:rPr>
              <w:t>2015</w:t>
            </w:r>
          </w:p>
        </w:tc>
        <w:tc>
          <w:tcPr>
            <w:tcW w:w="960" w:type="dxa"/>
            <w:gridSpan w:val="2"/>
            <w:tcBorders>
              <w:top w:val="single" w:sz="8" w:space="0" w:color="auto"/>
              <w:left w:val="nil"/>
              <w:bottom w:val="single" w:sz="8" w:space="0" w:color="auto"/>
              <w:right w:val="nil"/>
            </w:tcBorders>
            <w:shd w:val="clear" w:color="auto" w:fill="auto"/>
            <w:noWrap/>
            <w:vAlign w:val="center"/>
            <w:hideMark/>
          </w:tcPr>
          <w:p w:rsidR="00226313" w:rsidRPr="00CF1D89" w:rsidRDefault="00226313" w:rsidP="00CF1D89">
            <w:pPr>
              <w:spacing w:after="0" w:line="240" w:lineRule="auto"/>
              <w:jc w:val="center"/>
              <w:rPr>
                <w:rFonts w:eastAsia="Times New Roman" w:cs="Times New Roman"/>
                <w:b/>
                <w:bCs/>
                <w:color w:val="000000"/>
                <w:sz w:val="24"/>
                <w:szCs w:val="24"/>
                <w:lang w:eastAsia="ru-RU"/>
              </w:rPr>
            </w:pPr>
            <w:r w:rsidRPr="00CF1D89">
              <w:rPr>
                <w:rFonts w:eastAsia="Times New Roman" w:cs="Times New Roman"/>
                <w:b/>
                <w:bCs/>
                <w:color w:val="000000"/>
                <w:sz w:val="24"/>
                <w:szCs w:val="24"/>
                <w:lang w:eastAsia="ru-RU"/>
              </w:rPr>
              <w:t>2016</w:t>
            </w:r>
          </w:p>
        </w:tc>
        <w:tc>
          <w:tcPr>
            <w:tcW w:w="960" w:type="dxa"/>
            <w:gridSpan w:val="2"/>
            <w:tcBorders>
              <w:top w:val="single" w:sz="8" w:space="0" w:color="auto"/>
              <w:left w:val="nil"/>
              <w:bottom w:val="single" w:sz="8" w:space="0" w:color="auto"/>
              <w:right w:val="single" w:sz="8" w:space="0" w:color="auto"/>
            </w:tcBorders>
            <w:shd w:val="clear" w:color="auto" w:fill="auto"/>
            <w:noWrap/>
            <w:vAlign w:val="center"/>
            <w:hideMark/>
          </w:tcPr>
          <w:p w:rsidR="00226313" w:rsidRPr="00CF1D89" w:rsidRDefault="00226313" w:rsidP="00CF1D89">
            <w:pPr>
              <w:spacing w:after="0" w:line="240" w:lineRule="auto"/>
              <w:jc w:val="center"/>
              <w:rPr>
                <w:rFonts w:eastAsia="Times New Roman" w:cs="Times New Roman"/>
                <w:b/>
                <w:bCs/>
                <w:color w:val="000000"/>
                <w:sz w:val="24"/>
                <w:szCs w:val="24"/>
                <w:lang w:eastAsia="ru-RU"/>
              </w:rPr>
            </w:pPr>
            <w:r w:rsidRPr="00CF1D89">
              <w:rPr>
                <w:rFonts w:eastAsia="Times New Roman" w:cs="Times New Roman"/>
                <w:b/>
                <w:bCs/>
                <w:color w:val="000000"/>
                <w:sz w:val="24"/>
                <w:szCs w:val="24"/>
                <w:lang w:eastAsia="ru-RU"/>
              </w:rPr>
              <w:t>2017</w:t>
            </w:r>
          </w:p>
        </w:tc>
      </w:tr>
      <w:tr w:rsidR="00226313" w:rsidRPr="00CF1D89" w:rsidTr="00226313">
        <w:trPr>
          <w:divId w:val="872570649"/>
          <w:trHeight w:val="780"/>
        </w:trPr>
        <w:tc>
          <w:tcPr>
            <w:tcW w:w="2382" w:type="dxa"/>
            <w:tcBorders>
              <w:top w:val="nil"/>
              <w:left w:val="single" w:sz="8" w:space="0" w:color="auto"/>
              <w:bottom w:val="nil"/>
              <w:right w:val="nil"/>
            </w:tcBorders>
            <w:shd w:val="clear" w:color="auto" w:fill="auto"/>
            <w:vAlign w:val="bottom"/>
            <w:hideMark/>
          </w:tcPr>
          <w:p w:rsidR="00226313" w:rsidRPr="00CF1D89" w:rsidRDefault="00226313" w:rsidP="00CF1D89">
            <w:pPr>
              <w:spacing w:after="0" w:line="240" w:lineRule="auto"/>
              <w:rPr>
                <w:rFonts w:eastAsia="Times New Roman" w:cs="Times New Roman"/>
                <w:b/>
                <w:bCs/>
                <w:color w:val="000000"/>
                <w:sz w:val="24"/>
                <w:szCs w:val="24"/>
                <w:lang w:eastAsia="ru-RU"/>
              </w:rPr>
            </w:pPr>
            <w:r w:rsidRPr="00CF1D89">
              <w:rPr>
                <w:rFonts w:eastAsia="Times New Roman" w:cs="Times New Roman"/>
                <w:b/>
                <w:bCs/>
                <w:color w:val="000000"/>
                <w:sz w:val="24"/>
                <w:szCs w:val="24"/>
                <w:lang w:eastAsia="ru-RU"/>
              </w:rPr>
              <w:t>Медикаменты, лечебное оборудование и аппаратура</w:t>
            </w:r>
          </w:p>
        </w:tc>
        <w:tc>
          <w:tcPr>
            <w:tcW w:w="276" w:type="dxa"/>
            <w:tcBorders>
              <w:top w:val="nil"/>
              <w:left w:val="nil"/>
              <w:bottom w:val="nil"/>
              <w:right w:val="nil"/>
            </w:tcBorders>
            <w:shd w:val="clear" w:color="auto" w:fill="auto"/>
            <w:noWrap/>
            <w:vAlign w:val="bottom"/>
            <w:hideMark/>
          </w:tcPr>
          <w:p w:rsidR="00226313" w:rsidRPr="00CF1D89" w:rsidRDefault="00226313" w:rsidP="00CF1D89">
            <w:pPr>
              <w:spacing w:after="0" w:line="240" w:lineRule="auto"/>
              <w:rPr>
                <w:rFonts w:eastAsia="Times New Roman" w:cs="Times New Roman"/>
                <w:color w:val="000000"/>
                <w:sz w:val="24"/>
                <w:szCs w:val="24"/>
                <w:lang w:eastAsia="ru-RU"/>
              </w:rPr>
            </w:pPr>
          </w:p>
        </w:tc>
        <w:tc>
          <w:tcPr>
            <w:tcW w:w="1180" w:type="dxa"/>
            <w:gridSpan w:val="2"/>
            <w:tcBorders>
              <w:top w:val="nil"/>
              <w:left w:val="nil"/>
              <w:bottom w:val="nil"/>
              <w:right w:val="nil"/>
            </w:tcBorders>
            <w:shd w:val="clear" w:color="auto" w:fill="auto"/>
            <w:noWrap/>
            <w:vAlign w:val="bottom"/>
            <w:hideMark/>
          </w:tcPr>
          <w:p w:rsidR="00226313" w:rsidRPr="00CF1D89" w:rsidRDefault="00226313" w:rsidP="00CF1D89">
            <w:pPr>
              <w:spacing w:after="0" w:line="240" w:lineRule="auto"/>
              <w:jc w:val="right"/>
              <w:rPr>
                <w:rFonts w:eastAsia="Times New Roman" w:cs="Times New Roman"/>
                <w:color w:val="000000"/>
                <w:sz w:val="24"/>
                <w:szCs w:val="24"/>
                <w:lang w:eastAsia="ru-RU"/>
              </w:rPr>
            </w:pPr>
            <w:r>
              <w:rPr>
                <w:rFonts w:eastAsia="Times New Roman" w:cs="Times New Roman"/>
                <w:color w:val="000000"/>
                <w:sz w:val="24"/>
                <w:szCs w:val="24"/>
                <w:lang w:eastAsia="ru-RU"/>
              </w:rPr>
              <w:t>-3,5</w:t>
            </w:r>
          </w:p>
        </w:tc>
        <w:tc>
          <w:tcPr>
            <w:tcW w:w="960" w:type="dxa"/>
            <w:gridSpan w:val="2"/>
            <w:tcBorders>
              <w:top w:val="nil"/>
              <w:left w:val="nil"/>
              <w:bottom w:val="nil"/>
              <w:right w:val="nil"/>
            </w:tcBorders>
            <w:shd w:val="clear" w:color="auto" w:fill="auto"/>
            <w:noWrap/>
            <w:vAlign w:val="bottom"/>
            <w:hideMark/>
          </w:tcPr>
          <w:p w:rsidR="00226313" w:rsidRPr="00CF1D89" w:rsidRDefault="00226313" w:rsidP="00CF1D89">
            <w:pPr>
              <w:spacing w:after="0" w:line="240" w:lineRule="auto"/>
              <w:jc w:val="right"/>
              <w:rPr>
                <w:rFonts w:eastAsia="Times New Roman" w:cs="Times New Roman"/>
                <w:color w:val="000000"/>
                <w:sz w:val="24"/>
                <w:szCs w:val="24"/>
                <w:lang w:eastAsia="ru-RU"/>
              </w:rPr>
            </w:pPr>
            <w:r>
              <w:rPr>
                <w:rFonts w:eastAsia="Times New Roman" w:cs="Times New Roman"/>
                <w:color w:val="000000"/>
                <w:sz w:val="24"/>
                <w:szCs w:val="24"/>
                <w:lang w:eastAsia="ru-RU"/>
              </w:rPr>
              <w:t>-0,8</w:t>
            </w:r>
          </w:p>
        </w:tc>
        <w:tc>
          <w:tcPr>
            <w:tcW w:w="960" w:type="dxa"/>
            <w:gridSpan w:val="2"/>
            <w:tcBorders>
              <w:top w:val="nil"/>
              <w:left w:val="nil"/>
              <w:bottom w:val="nil"/>
              <w:right w:val="nil"/>
            </w:tcBorders>
            <w:shd w:val="clear" w:color="auto" w:fill="auto"/>
            <w:noWrap/>
            <w:vAlign w:val="bottom"/>
            <w:hideMark/>
          </w:tcPr>
          <w:p w:rsidR="00226313" w:rsidRPr="00CF1D89" w:rsidRDefault="00226313" w:rsidP="00CF1D89">
            <w:pPr>
              <w:spacing w:after="0" w:line="240" w:lineRule="auto"/>
              <w:jc w:val="right"/>
              <w:rPr>
                <w:rFonts w:eastAsia="Times New Roman" w:cs="Times New Roman"/>
                <w:color w:val="000000"/>
                <w:sz w:val="24"/>
                <w:szCs w:val="24"/>
                <w:lang w:eastAsia="ru-RU"/>
              </w:rPr>
            </w:pPr>
            <w:r>
              <w:rPr>
                <w:rFonts w:eastAsia="Times New Roman" w:cs="Times New Roman"/>
                <w:color w:val="000000"/>
                <w:sz w:val="24"/>
                <w:szCs w:val="24"/>
                <w:lang w:eastAsia="ru-RU"/>
              </w:rPr>
              <w:t>0,7</w:t>
            </w:r>
          </w:p>
        </w:tc>
        <w:tc>
          <w:tcPr>
            <w:tcW w:w="960" w:type="dxa"/>
            <w:gridSpan w:val="2"/>
            <w:tcBorders>
              <w:top w:val="nil"/>
              <w:left w:val="nil"/>
              <w:bottom w:val="nil"/>
              <w:right w:val="nil"/>
            </w:tcBorders>
            <w:shd w:val="clear" w:color="auto" w:fill="auto"/>
            <w:noWrap/>
            <w:vAlign w:val="bottom"/>
            <w:hideMark/>
          </w:tcPr>
          <w:p w:rsidR="00226313" w:rsidRPr="00CF1D89" w:rsidRDefault="00226313" w:rsidP="00CF1D89">
            <w:pPr>
              <w:spacing w:after="0" w:line="240" w:lineRule="auto"/>
              <w:jc w:val="right"/>
              <w:rPr>
                <w:rFonts w:eastAsia="Times New Roman" w:cs="Times New Roman"/>
                <w:color w:val="000000"/>
                <w:sz w:val="24"/>
                <w:szCs w:val="24"/>
                <w:lang w:eastAsia="ru-RU"/>
              </w:rPr>
            </w:pPr>
            <w:r>
              <w:rPr>
                <w:rFonts w:eastAsia="Times New Roman" w:cs="Times New Roman"/>
                <w:color w:val="000000"/>
                <w:sz w:val="24"/>
                <w:szCs w:val="24"/>
                <w:lang w:eastAsia="ru-RU"/>
              </w:rPr>
              <w:t>9,0</w:t>
            </w:r>
          </w:p>
        </w:tc>
        <w:tc>
          <w:tcPr>
            <w:tcW w:w="960" w:type="dxa"/>
            <w:gridSpan w:val="2"/>
            <w:tcBorders>
              <w:top w:val="nil"/>
              <w:left w:val="nil"/>
              <w:bottom w:val="nil"/>
              <w:right w:val="nil"/>
            </w:tcBorders>
            <w:shd w:val="clear" w:color="auto" w:fill="auto"/>
            <w:noWrap/>
            <w:vAlign w:val="bottom"/>
            <w:hideMark/>
          </w:tcPr>
          <w:p w:rsidR="00226313" w:rsidRPr="00CF1D89" w:rsidRDefault="00226313" w:rsidP="00CF1D89">
            <w:pPr>
              <w:spacing w:after="0" w:line="240" w:lineRule="auto"/>
              <w:jc w:val="right"/>
              <w:rPr>
                <w:rFonts w:eastAsia="Times New Roman" w:cs="Times New Roman"/>
                <w:color w:val="000000"/>
                <w:sz w:val="24"/>
                <w:szCs w:val="24"/>
                <w:lang w:eastAsia="ru-RU"/>
              </w:rPr>
            </w:pPr>
            <w:r>
              <w:rPr>
                <w:rFonts w:eastAsia="Times New Roman" w:cs="Times New Roman"/>
                <w:color w:val="000000"/>
                <w:sz w:val="24"/>
                <w:szCs w:val="24"/>
                <w:lang w:eastAsia="ru-RU"/>
              </w:rPr>
              <w:t>16,0</w:t>
            </w:r>
          </w:p>
        </w:tc>
        <w:tc>
          <w:tcPr>
            <w:tcW w:w="960" w:type="dxa"/>
            <w:gridSpan w:val="2"/>
            <w:tcBorders>
              <w:top w:val="nil"/>
              <w:left w:val="nil"/>
              <w:bottom w:val="nil"/>
              <w:right w:val="nil"/>
            </w:tcBorders>
            <w:shd w:val="clear" w:color="auto" w:fill="auto"/>
            <w:noWrap/>
            <w:vAlign w:val="bottom"/>
            <w:hideMark/>
          </w:tcPr>
          <w:p w:rsidR="00226313" w:rsidRPr="00CF1D89" w:rsidRDefault="00226313" w:rsidP="00CF1D89">
            <w:pPr>
              <w:spacing w:after="0" w:line="240" w:lineRule="auto"/>
              <w:jc w:val="right"/>
              <w:rPr>
                <w:rFonts w:eastAsia="Times New Roman" w:cs="Times New Roman"/>
                <w:color w:val="000000"/>
                <w:sz w:val="24"/>
                <w:szCs w:val="24"/>
                <w:lang w:eastAsia="ru-RU"/>
              </w:rPr>
            </w:pPr>
            <w:r>
              <w:rPr>
                <w:rFonts w:eastAsia="Times New Roman" w:cs="Times New Roman"/>
                <w:color w:val="000000"/>
                <w:sz w:val="24"/>
                <w:szCs w:val="24"/>
                <w:lang w:eastAsia="ru-RU"/>
              </w:rPr>
              <w:t>-10,3</w:t>
            </w:r>
          </w:p>
        </w:tc>
        <w:tc>
          <w:tcPr>
            <w:tcW w:w="724" w:type="dxa"/>
            <w:tcBorders>
              <w:top w:val="nil"/>
              <w:left w:val="nil"/>
              <w:bottom w:val="nil"/>
              <w:right w:val="single" w:sz="8" w:space="0" w:color="auto"/>
            </w:tcBorders>
            <w:shd w:val="clear" w:color="auto" w:fill="auto"/>
            <w:noWrap/>
            <w:vAlign w:val="bottom"/>
            <w:hideMark/>
          </w:tcPr>
          <w:p w:rsidR="00226313" w:rsidRPr="00CF1D89" w:rsidRDefault="00E57525" w:rsidP="00CF1D89">
            <w:pPr>
              <w:spacing w:after="0" w:line="240" w:lineRule="auto"/>
              <w:jc w:val="right"/>
              <w:rPr>
                <w:rFonts w:eastAsia="Times New Roman" w:cs="Times New Roman"/>
                <w:color w:val="000000"/>
                <w:sz w:val="24"/>
                <w:szCs w:val="24"/>
                <w:lang w:eastAsia="ru-RU"/>
              </w:rPr>
            </w:pPr>
            <w:r>
              <w:rPr>
                <w:rFonts w:eastAsia="Times New Roman" w:cs="Times New Roman"/>
                <w:color w:val="000000"/>
                <w:sz w:val="24"/>
                <w:szCs w:val="24"/>
                <w:lang w:eastAsia="ru-RU"/>
              </w:rPr>
              <w:t>-9,2</w:t>
            </w:r>
          </w:p>
        </w:tc>
      </w:tr>
      <w:tr w:rsidR="00226313" w:rsidRPr="00CF1D89" w:rsidTr="00226313">
        <w:trPr>
          <w:divId w:val="872570649"/>
          <w:trHeight w:val="270"/>
        </w:trPr>
        <w:tc>
          <w:tcPr>
            <w:tcW w:w="2382" w:type="dxa"/>
            <w:tcBorders>
              <w:top w:val="nil"/>
              <w:left w:val="single" w:sz="8" w:space="0" w:color="auto"/>
              <w:bottom w:val="nil"/>
              <w:right w:val="nil"/>
            </w:tcBorders>
            <w:shd w:val="clear" w:color="auto" w:fill="auto"/>
            <w:noWrap/>
            <w:vAlign w:val="bottom"/>
            <w:hideMark/>
          </w:tcPr>
          <w:p w:rsidR="00226313" w:rsidRPr="00CF1D89" w:rsidRDefault="00226313" w:rsidP="00CF1D89">
            <w:pPr>
              <w:spacing w:after="0" w:line="240" w:lineRule="auto"/>
              <w:rPr>
                <w:rFonts w:eastAsia="Times New Roman" w:cs="Times New Roman"/>
                <w:b/>
                <w:bCs/>
                <w:color w:val="000000"/>
                <w:sz w:val="24"/>
                <w:szCs w:val="24"/>
                <w:lang w:eastAsia="ru-RU"/>
              </w:rPr>
            </w:pPr>
            <w:r w:rsidRPr="00CF1D89">
              <w:rPr>
                <w:rFonts w:eastAsia="Times New Roman" w:cs="Times New Roman"/>
                <w:b/>
                <w:bCs/>
                <w:color w:val="000000"/>
                <w:sz w:val="24"/>
                <w:szCs w:val="24"/>
                <w:lang w:eastAsia="ru-RU"/>
              </w:rPr>
              <w:t>Амбулаторные услуги</w:t>
            </w:r>
          </w:p>
        </w:tc>
        <w:tc>
          <w:tcPr>
            <w:tcW w:w="276" w:type="dxa"/>
            <w:tcBorders>
              <w:top w:val="nil"/>
              <w:left w:val="nil"/>
              <w:bottom w:val="nil"/>
              <w:right w:val="nil"/>
            </w:tcBorders>
            <w:shd w:val="clear" w:color="auto" w:fill="auto"/>
            <w:noWrap/>
            <w:vAlign w:val="bottom"/>
            <w:hideMark/>
          </w:tcPr>
          <w:p w:rsidR="00226313" w:rsidRPr="00CF1D89" w:rsidRDefault="00226313" w:rsidP="00CF1D89">
            <w:pPr>
              <w:spacing w:after="0" w:line="240" w:lineRule="auto"/>
              <w:rPr>
                <w:rFonts w:eastAsia="Times New Roman" w:cs="Times New Roman"/>
                <w:color w:val="000000"/>
                <w:sz w:val="24"/>
                <w:szCs w:val="24"/>
                <w:lang w:eastAsia="ru-RU"/>
              </w:rPr>
            </w:pPr>
          </w:p>
        </w:tc>
        <w:tc>
          <w:tcPr>
            <w:tcW w:w="1180" w:type="dxa"/>
            <w:gridSpan w:val="2"/>
            <w:tcBorders>
              <w:top w:val="nil"/>
              <w:left w:val="nil"/>
              <w:bottom w:val="nil"/>
              <w:right w:val="nil"/>
            </w:tcBorders>
            <w:shd w:val="clear" w:color="auto" w:fill="auto"/>
            <w:noWrap/>
            <w:vAlign w:val="bottom"/>
            <w:hideMark/>
          </w:tcPr>
          <w:p w:rsidR="00226313" w:rsidRPr="00CF1D89" w:rsidRDefault="00226313" w:rsidP="00CF1D89">
            <w:pPr>
              <w:spacing w:after="0" w:line="240" w:lineRule="auto"/>
              <w:jc w:val="right"/>
              <w:rPr>
                <w:rFonts w:eastAsia="Times New Roman" w:cs="Times New Roman"/>
                <w:color w:val="000000"/>
                <w:sz w:val="24"/>
                <w:szCs w:val="24"/>
                <w:lang w:eastAsia="ru-RU"/>
              </w:rPr>
            </w:pPr>
            <w:r>
              <w:rPr>
                <w:rFonts w:eastAsia="Times New Roman" w:cs="Times New Roman"/>
                <w:color w:val="000000"/>
                <w:sz w:val="24"/>
                <w:szCs w:val="24"/>
                <w:lang w:eastAsia="ru-RU"/>
              </w:rPr>
              <w:t>-3,3</w:t>
            </w:r>
          </w:p>
        </w:tc>
        <w:tc>
          <w:tcPr>
            <w:tcW w:w="960" w:type="dxa"/>
            <w:gridSpan w:val="2"/>
            <w:tcBorders>
              <w:top w:val="nil"/>
              <w:left w:val="nil"/>
              <w:bottom w:val="nil"/>
              <w:right w:val="nil"/>
            </w:tcBorders>
            <w:shd w:val="clear" w:color="auto" w:fill="auto"/>
            <w:noWrap/>
            <w:vAlign w:val="bottom"/>
            <w:hideMark/>
          </w:tcPr>
          <w:p w:rsidR="00226313" w:rsidRPr="00CF1D89" w:rsidRDefault="00226313" w:rsidP="00CF1D89">
            <w:pPr>
              <w:spacing w:after="0" w:line="240" w:lineRule="auto"/>
              <w:jc w:val="right"/>
              <w:rPr>
                <w:rFonts w:eastAsia="Times New Roman" w:cs="Times New Roman"/>
                <w:color w:val="000000"/>
                <w:sz w:val="24"/>
                <w:szCs w:val="24"/>
                <w:lang w:eastAsia="ru-RU"/>
              </w:rPr>
            </w:pPr>
            <w:r>
              <w:rPr>
                <w:rFonts w:eastAsia="Times New Roman" w:cs="Times New Roman"/>
                <w:color w:val="000000"/>
                <w:sz w:val="24"/>
                <w:szCs w:val="24"/>
                <w:lang w:eastAsia="ru-RU"/>
              </w:rPr>
              <w:t>2,4</w:t>
            </w:r>
          </w:p>
        </w:tc>
        <w:tc>
          <w:tcPr>
            <w:tcW w:w="960" w:type="dxa"/>
            <w:gridSpan w:val="2"/>
            <w:tcBorders>
              <w:top w:val="nil"/>
              <w:left w:val="nil"/>
              <w:bottom w:val="nil"/>
              <w:right w:val="nil"/>
            </w:tcBorders>
            <w:shd w:val="clear" w:color="auto" w:fill="auto"/>
            <w:noWrap/>
            <w:vAlign w:val="bottom"/>
            <w:hideMark/>
          </w:tcPr>
          <w:p w:rsidR="00226313" w:rsidRPr="00CF1D89" w:rsidRDefault="00226313" w:rsidP="00CF1D89">
            <w:pPr>
              <w:spacing w:after="0" w:line="240" w:lineRule="auto"/>
              <w:jc w:val="right"/>
              <w:rPr>
                <w:rFonts w:eastAsia="Times New Roman" w:cs="Times New Roman"/>
                <w:color w:val="000000"/>
                <w:sz w:val="24"/>
                <w:szCs w:val="24"/>
                <w:lang w:eastAsia="ru-RU"/>
              </w:rPr>
            </w:pPr>
            <w:r>
              <w:rPr>
                <w:rFonts w:eastAsia="Times New Roman" w:cs="Times New Roman"/>
                <w:color w:val="000000"/>
                <w:sz w:val="24"/>
                <w:szCs w:val="24"/>
                <w:lang w:eastAsia="ru-RU"/>
              </w:rPr>
              <w:t>3,1</w:t>
            </w:r>
          </w:p>
        </w:tc>
        <w:tc>
          <w:tcPr>
            <w:tcW w:w="960" w:type="dxa"/>
            <w:gridSpan w:val="2"/>
            <w:tcBorders>
              <w:top w:val="nil"/>
              <w:left w:val="nil"/>
              <w:bottom w:val="nil"/>
              <w:right w:val="nil"/>
            </w:tcBorders>
            <w:shd w:val="clear" w:color="auto" w:fill="auto"/>
            <w:noWrap/>
            <w:vAlign w:val="bottom"/>
            <w:hideMark/>
          </w:tcPr>
          <w:p w:rsidR="00226313" w:rsidRPr="00CF1D89" w:rsidRDefault="00226313" w:rsidP="00CF1D89">
            <w:pPr>
              <w:spacing w:after="0" w:line="240" w:lineRule="auto"/>
              <w:jc w:val="right"/>
              <w:rPr>
                <w:rFonts w:eastAsia="Times New Roman" w:cs="Times New Roman"/>
                <w:color w:val="000000"/>
                <w:sz w:val="24"/>
                <w:szCs w:val="24"/>
                <w:lang w:eastAsia="ru-RU"/>
              </w:rPr>
            </w:pPr>
            <w:r>
              <w:rPr>
                <w:rFonts w:eastAsia="Times New Roman" w:cs="Times New Roman"/>
                <w:color w:val="000000"/>
                <w:sz w:val="24"/>
                <w:szCs w:val="24"/>
                <w:lang w:eastAsia="ru-RU"/>
              </w:rPr>
              <w:t>0,1</w:t>
            </w:r>
          </w:p>
        </w:tc>
        <w:tc>
          <w:tcPr>
            <w:tcW w:w="960" w:type="dxa"/>
            <w:gridSpan w:val="2"/>
            <w:tcBorders>
              <w:top w:val="nil"/>
              <w:left w:val="nil"/>
              <w:bottom w:val="nil"/>
              <w:right w:val="nil"/>
            </w:tcBorders>
            <w:shd w:val="clear" w:color="auto" w:fill="auto"/>
            <w:noWrap/>
            <w:vAlign w:val="bottom"/>
            <w:hideMark/>
          </w:tcPr>
          <w:p w:rsidR="00226313" w:rsidRPr="00CF1D89" w:rsidRDefault="00226313" w:rsidP="00CF1D89">
            <w:pPr>
              <w:spacing w:after="0" w:line="240" w:lineRule="auto"/>
              <w:jc w:val="right"/>
              <w:rPr>
                <w:rFonts w:eastAsia="Times New Roman" w:cs="Times New Roman"/>
                <w:color w:val="000000"/>
                <w:sz w:val="24"/>
                <w:szCs w:val="24"/>
                <w:lang w:eastAsia="ru-RU"/>
              </w:rPr>
            </w:pPr>
            <w:r>
              <w:rPr>
                <w:rFonts w:eastAsia="Times New Roman" w:cs="Times New Roman"/>
                <w:color w:val="000000"/>
                <w:sz w:val="24"/>
                <w:szCs w:val="24"/>
                <w:lang w:eastAsia="ru-RU"/>
              </w:rPr>
              <w:t>-0,5</w:t>
            </w:r>
          </w:p>
        </w:tc>
        <w:tc>
          <w:tcPr>
            <w:tcW w:w="960" w:type="dxa"/>
            <w:gridSpan w:val="2"/>
            <w:tcBorders>
              <w:top w:val="nil"/>
              <w:left w:val="nil"/>
              <w:bottom w:val="nil"/>
              <w:right w:val="nil"/>
            </w:tcBorders>
            <w:shd w:val="clear" w:color="auto" w:fill="auto"/>
            <w:noWrap/>
            <w:vAlign w:val="bottom"/>
            <w:hideMark/>
          </w:tcPr>
          <w:p w:rsidR="00226313" w:rsidRPr="00CF1D89" w:rsidRDefault="00226313" w:rsidP="00CF1D89">
            <w:pPr>
              <w:spacing w:after="0" w:line="240" w:lineRule="auto"/>
              <w:jc w:val="right"/>
              <w:rPr>
                <w:rFonts w:eastAsia="Times New Roman" w:cs="Times New Roman"/>
                <w:color w:val="000000"/>
                <w:sz w:val="24"/>
                <w:szCs w:val="24"/>
                <w:lang w:eastAsia="ru-RU"/>
              </w:rPr>
            </w:pPr>
            <w:r>
              <w:rPr>
                <w:rFonts w:eastAsia="Times New Roman" w:cs="Times New Roman"/>
                <w:color w:val="000000"/>
                <w:sz w:val="24"/>
                <w:szCs w:val="24"/>
                <w:lang w:eastAsia="ru-RU"/>
              </w:rPr>
              <w:t>-1,4</w:t>
            </w:r>
          </w:p>
        </w:tc>
        <w:tc>
          <w:tcPr>
            <w:tcW w:w="724" w:type="dxa"/>
            <w:tcBorders>
              <w:top w:val="nil"/>
              <w:left w:val="nil"/>
              <w:bottom w:val="nil"/>
              <w:right w:val="single" w:sz="8" w:space="0" w:color="auto"/>
            </w:tcBorders>
            <w:shd w:val="clear" w:color="auto" w:fill="auto"/>
            <w:noWrap/>
            <w:vAlign w:val="bottom"/>
            <w:hideMark/>
          </w:tcPr>
          <w:p w:rsidR="00226313" w:rsidRPr="00CF1D89" w:rsidRDefault="00226313" w:rsidP="00CF1D89">
            <w:pPr>
              <w:spacing w:after="0" w:line="240" w:lineRule="auto"/>
              <w:jc w:val="right"/>
              <w:rPr>
                <w:rFonts w:eastAsia="Times New Roman" w:cs="Times New Roman"/>
                <w:color w:val="000000"/>
                <w:sz w:val="24"/>
                <w:szCs w:val="24"/>
                <w:lang w:eastAsia="ru-RU"/>
              </w:rPr>
            </w:pPr>
            <w:r w:rsidRPr="00CF1D89">
              <w:rPr>
                <w:rFonts w:eastAsia="Times New Roman" w:cs="Times New Roman"/>
                <w:color w:val="000000"/>
                <w:sz w:val="24"/>
                <w:szCs w:val="24"/>
                <w:lang w:eastAsia="ru-RU"/>
              </w:rPr>
              <w:t>-2</w:t>
            </w:r>
            <w:r w:rsidR="00E57525">
              <w:rPr>
                <w:rFonts w:eastAsia="Times New Roman" w:cs="Times New Roman"/>
                <w:color w:val="000000"/>
                <w:sz w:val="24"/>
                <w:szCs w:val="24"/>
                <w:lang w:eastAsia="ru-RU"/>
              </w:rPr>
              <w:t>,0</w:t>
            </w:r>
          </w:p>
        </w:tc>
      </w:tr>
      <w:tr w:rsidR="00226313" w:rsidRPr="00CF1D89" w:rsidTr="00226313">
        <w:trPr>
          <w:divId w:val="872570649"/>
          <w:trHeight w:val="270"/>
        </w:trPr>
        <w:tc>
          <w:tcPr>
            <w:tcW w:w="2382" w:type="dxa"/>
            <w:tcBorders>
              <w:top w:val="nil"/>
              <w:left w:val="single" w:sz="8" w:space="0" w:color="auto"/>
              <w:bottom w:val="nil"/>
              <w:right w:val="nil"/>
            </w:tcBorders>
            <w:shd w:val="clear" w:color="auto" w:fill="auto"/>
            <w:noWrap/>
            <w:vAlign w:val="bottom"/>
            <w:hideMark/>
          </w:tcPr>
          <w:p w:rsidR="00226313" w:rsidRPr="00CF1D89" w:rsidRDefault="00226313" w:rsidP="00CF1D89">
            <w:pPr>
              <w:spacing w:after="0" w:line="240" w:lineRule="auto"/>
              <w:rPr>
                <w:rFonts w:eastAsia="Times New Roman" w:cs="Times New Roman"/>
                <w:b/>
                <w:bCs/>
                <w:color w:val="000000"/>
                <w:sz w:val="24"/>
                <w:szCs w:val="24"/>
                <w:lang w:eastAsia="ru-RU"/>
              </w:rPr>
            </w:pPr>
            <w:r w:rsidRPr="00CF1D89">
              <w:rPr>
                <w:rFonts w:eastAsia="Times New Roman" w:cs="Times New Roman"/>
                <w:b/>
                <w:bCs/>
                <w:color w:val="000000"/>
                <w:sz w:val="24"/>
                <w:szCs w:val="24"/>
                <w:lang w:eastAsia="ru-RU"/>
              </w:rPr>
              <w:t>Медицинские услуги</w:t>
            </w:r>
          </w:p>
        </w:tc>
        <w:tc>
          <w:tcPr>
            <w:tcW w:w="276" w:type="dxa"/>
            <w:tcBorders>
              <w:top w:val="nil"/>
              <w:left w:val="nil"/>
              <w:bottom w:val="nil"/>
              <w:right w:val="nil"/>
            </w:tcBorders>
            <w:shd w:val="clear" w:color="auto" w:fill="auto"/>
            <w:noWrap/>
            <w:vAlign w:val="bottom"/>
            <w:hideMark/>
          </w:tcPr>
          <w:p w:rsidR="00226313" w:rsidRPr="00CF1D89" w:rsidRDefault="00226313" w:rsidP="00CF1D89">
            <w:pPr>
              <w:spacing w:after="0" w:line="240" w:lineRule="auto"/>
              <w:rPr>
                <w:rFonts w:eastAsia="Times New Roman" w:cs="Times New Roman"/>
                <w:color w:val="000000"/>
                <w:sz w:val="24"/>
                <w:szCs w:val="24"/>
                <w:lang w:eastAsia="ru-RU"/>
              </w:rPr>
            </w:pPr>
          </w:p>
        </w:tc>
        <w:tc>
          <w:tcPr>
            <w:tcW w:w="1180" w:type="dxa"/>
            <w:gridSpan w:val="2"/>
            <w:tcBorders>
              <w:top w:val="nil"/>
              <w:left w:val="nil"/>
              <w:bottom w:val="nil"/>
              <w:right w:val="nil"/>
            </w:tcBorders>
            <w:shd w:val="clear" w:color="auto" w:fill="auto"/>
            <w:noWrap/>
            <w:vAlign w:val="bottom"/>
            <w:hideMark/>
          </w:tcPr>
          <w:p w:rsidR="00226313" w:rsidRPr="00CF1D89" w:rsidRDefault="00226313" w:rsidP="00CF1D89">
            <w:pPr>
              <w:spacing w:after="0" w:line="240" w:lineRule="auto"/>
              <w:jc w:val="right"/>
              <w:rPr>
                <w:rFonts w:eastAsia="Times New Roman" w:cs="Times New Roman"/>
                <w:color w:val="000000"/>
                <w:sz w:val="24"/>
                <w:szCs w:val="24"/>
                <w:lang w:eastAsia="ru-RU"/>
              </w:rPr>
            </w:pPr>
            <w:r>
              <w:rPr>
                <w:rFonts w:eastAsia="Times New Roman" w:cs="Times New Roman"/>
                <w:color w:val="000000"/>
                <w:sz w:val="24"/>
                <w:szCs w:val="24"/>
                <w:lang w:eastAsia="ru-RU"/>
              </w:rPr>
              <w:t>-3,3</w:t>
            </w:r>
          </w:p>
        </w:tc>
        <w:tc>
          <w:tcPr>
            <w:tcW w:w="960" w:type="dxa"/>
            <w:gridSpan w:val="2"/>
            <w:tcBorders>
              <w:top w:val="nil"/>
              <w:left w:val="nil"/>
              <w:bottom w:val="nil"/>
              <w:right w:val="nil"/>
            </w:tcBorders>
            <w:shd w:val="clear" w:color="auto" w:fill="auto"/>
            <w:noWrap/>
            <w:vAlign w:val="bottom"/>
            <w:hideMark/>
          </w:tcPr>
          <w:p w:rsidR="00226313" w:rsidRPr="00CF1D89" w:rsidRDefault="00226313" w:rsidP="00CF1D89">
            <w:pPr>
              <w:spacing w:after="0" w:line="240" w:lineRule="auto"/>
              <w:jc w:val="right"/>
              <w:rPr>
                <w:rFonts w:eastAsia="Times New Roman" w:cs="Times New Roman"/>
                <w:color w:val="000000"/>
                <w:sz w:val="24"/>
                <w:szCs w:val="24"/>
                <w:lang w:eastAsia="ru-RU"/>
              </w:rPr>
            </w:pPr>
            <w:r>
              <w:rPr>
                <w:rFonts w:eastAsia="Times New Roman" w:cs="Times New Roman"/>
                <w:color w:val="000000"/>
                <w:sz w:val="24"/>
                <w:szCs w:val="24"/>
                <w:lang w:eastAsia="ru-RU"/>
              </w:rPr>
              <w:t>3,7</w:t>
            </w:r>
          </w:p>
        </w:tc>
        <w:tc>
          <w:tcPr>
            <w:tcW w:w="960" w:type="dxa"/>
            <w:gridSpan w:val="2"/>
            <w:tcBorders>
              <w:top w:val="nil"/>
              <w:left w:val="nil"/>
              <w:bottom w:val="nil"/>
              <w:right w:val="nil"/>
            </w:tcBorders>
            <w:shd w:val="clear" w:color="auto" w:fill="auto"/>
            <w:noWrap/>
            <w:vAlign w:val="bottom"/>
            <w:hideMark/>
          </w:tcPr>
          <w:p w:rsidR="00226313" w:rsidRPr="00CF1D89" w:rsidRDefault="00226313" w:rsidP="00CF1D89">
            <w:pPr>
              <w:spacing w:after="0" w:line="240" w:lineRule="auto"/>
              <w:jc w:val="right"/>
              <w:rPr>
                <w:rFonts w:eastAsia="Times New Roman" w:cs="Times New Roman"/>
                <w:color w:val="000000"/>
                <w:sz w:val="24"/>
                <w:szCs w:val="24"/>
                <w:lang w:eastAsia="ru-RU"/>
              </w:rPr>
            </w:pPr>
            <w:r>
              <w:rPr>
                <w:rFonts w:eastAsia="Times New Roman" w:cs="Times New Roman"/>
                <w:color w:val="000000"/>
                <w:sz w:val="24"/>
                <w:szCs w:val="24"/>
                <w:lang w:eastAsia="ru-RU"/>
              </w:rPr>
              <w:t>8,6</w:t>
            </w:r>
          </w:p>
        </w:tc>
        <w:tc>
          <w:tcPr>
            <w:tcW w:w="960" w:type="dxa"/>
            <w:gridSpan w:val="2"/>
            <w:tcBorders>
              <w:top w:val="nil"/>
              <w:left w:val="nil"/>
              <w:bottom w:val="nil"/>
              <w:right w:val="nil"/>
            </w:tcBorders>
            <w:shd w:val="clear" w:color="auto" w:fill="auto"/>
            <w:noWrap/>
            <w:vAlign w:val="bottom"/>
            <w:hideMark/>
          </w:tcPr>
          <w:p w:rsidR="00226313" w:rsidRPr="00CF1D89" w:rsidRDefault="00226313" w:rsidP="00CF1D89">
            <w:pPr>
              <w:spacing w:after="0" w:line="240" w:lineRule="auto"/>
              <w:jc w:val="right"/>
              <w:rPr>
                <w:rFonts w:eastAsia="Times New Roman" w:cs="Times New Roman"/>
                <w:color w:val="000000"/>
                <w:sz w:val="24"/>
                <w:szCs w:val="24"/>
                <w:lang w:eastAsia="ru-RU"/>
              </w:rPr>
            </w:pPr>
            <w:r>
              <w:rPr>
                <w:rFonts w:eastAsia="Times New Roman" w:cs="Times New Roman"/>
                <w:color w:val="000000"/>
                <w:sz w:val="24"/>
                <w:szCs w:val="24"/>
                <w:lang w:eastAsia="ru-RU"/>
              </w:rPr>
              <w:t>0,5</w:t>
            </w:r>
          </w:p>
        </w:tc>
        <w:tc>
          <w:tcPr>
            <w:tcW w:w="960" w:type="dxa"/>
            <w:gridSpan w:val="2"/>
            <w:tcBorders>
              <w:top w:val="nil"/>
              <w:left w:val="nil"/>
              <w:bottom w:val="nil"/>
              <w:right w:val="nil"/>
            </w:tcBorders>
            <w:shd w:val="clear" w:color="auto" w:fill="auto"/>
            <w:noWrap/>
            <w:vAlign w:val="bottom"/>
            <w:hideMark/>
          </w:tcPr>
          <w:p w:rsidR="00226313" w:rsidRPr="00CF1D89" w:rsidRDefault="00226313" w:rsidP="00CF1D89">
            <w:pPr>
              <w:spacing w:after="0" w:line="240" w:lineRule="auto"/>
              <w:jc w:val="right"/>
              <w:rPr>
                <w:rFonts w:eastAsia="Times New Roman" w:cs="Times New Roman"/>
                <w:color w:val="000000"/>
                <w:sz w:val="24"/>
                <w:szCs w:val="24"/>
                <w:lang w:eastAsia="ru-RU"/>
              </w:rPr>
            </w:pPr>
            <w:r>
              <w:rPr>
                <w:rFonts w:eastAsia="Times New Roman" w:cs="Times New Roman"/>
                <w:color w:val="000000"/>
                <w:sz w:val="24"/>
                <w:szCs w:val="24"/>
                <w:lang w:eastAsia="ru-RU"/>
              </w:rPr>
              <w:t>-3,3</w:t>
            </w:r>
          </w:p>
        </w:tc>
        <w:tc>
          <w:tcPr>
            <w:tcW w:w="960" w:type="dxa"/>
            <w:gridSpan w:val="2"/>
            <w:tcBorders>
              <w:top w:val="nil"/>
              <w:left w:val="nil"/>
              <w:bottom w:val="nil"/>
              <w:right w:val="nil"/>
            </w:tcBorders>
            <w:shd w:val="clear" w:color="auto" w:fill="auto"/>
            <w:noWrap/>
            <w:vAlign w:val="bottom"/>
            <w:hideMark/>
          </w:tcPr>
          <w:p w:rsidR="00226313" w:rsidRPr="00CF1D89" w:rsidRDefault="00226313" w:rsidP="00CF1D89">
            <w:pPr>
              <w:spacing w:after="0" w:line="240" w:lineRule="auto"/>
              <w:jc w:val="right"/>
              <w:rPr>
                <w:rFonts w:eastAsia="Times New Roman" w:cs="Times New Roman"/>
                <w:color w:val="000000"/>
                <w:sz w:val="24"/>
                <w:szCs w:val="24"/>
                <w:lang w:eastAsia="ru-RU"/>
              </w:rPr>
            </w:pPr>
            <w:r>
              <w:rPr>
                <w:rFonts w:eastAsia="Times New Roman" w:cs="Times New Roman"/>
                <w:color w:val="000000"/>
                <w:sz w:val="24"/>
                <w:szCs w:val="24"/>
                <w:lang w:eastAsia="ru-RU"/>
              </w:rPr>
              <w:t>-2,7</w:t>
            </w:r>
          </w:p>
        </w:tc>
        <w:tc>
          <w:tcPr>
            <w:tcW w:w="724" w:type="dxa"/>
            <w:tcBorders>
              <w:top w:val="nil"/>
              <w:left w:val="nil"/>
              <w:bottom w:val="nil"/>
              <w:right w:val="single" w:sz="8" w:space="0" w:color="auto"/>
            </w:tcBorders>
            <w:shd w:val="clear" w:color="auto" w:fill="auto"/>
            <w:noWrap/>
            <w:vAlign w:val="bottom"/>
            <w:hideMark/>
          </w:tcPr>
          <w:p w:rsidR="00226313" w:rsidRPr="00CF1D89" w:rsidRDefault="00E57525" w:rsidP="00CF1D89">
            <w:pPr>
              <w:spacing w:after="0" w:line="240" w:lineRule="auto"/>
              <w:jc w:val="right"/>
              <w:rPr>
                <w:rFonts w:eastAsia="Times New Roman" w:cs="Times New Roman"/>
                <w:color w:val="000000"/>
                <w:sz w:val="24"/>
                <w:szCs w:val="24"/>
                <w:lang w:eastAsia="ru-RU"/>
              </w:rPr>
            </w:pPr>
            <w:r>
              <w:rPr>
                <w:rFonts w:eastAsia="Times New Roman" w:cs="Times New Roman"/>
                <w:color w:val="000000"/>
                <w:sz w:val="24"/>
                <w:szCs w:val="24"/>
                <w:lang w:eastAsia="ru-RU"/>
              </w:rPr>
              <w:t>-4,4</w:t>
            </w:r>
          </w:p>
        </w:tc>
      </w:tr>
      <w:tr w:rsidR="00226313" w:rsidRPr="00CF1D89" w:rsidTr="00226313">
        <w:trPr>
          <w:divId w:val="872570649"/>
          <w:trHeight w:val="270"/>
        </w:trPr>
        <w:tc>
          <w:tcPr>
            <w:tcW w:w="2382" w:type="dxa"/>
            <w:tcBorders>
              <w:top w:val="nil"/>
              <w:left w:val="single" w:sz="8" w:space="0" w:color="auto"/>
              <w:bottom w:val="nil"/>
              <w:right w:val="nil"/>
            </w:tcBorders>
            <w:shd w:val="clear" w:color="auto" w:fill="auto"/>
            <w:noWrap/>
            <w:vAlign w:val="bottom"/>
            <w:hideMark/>
          </w:tcPr>
          <w:p w:rsidR="00226313" w:rsidRPr="00CF1D89" w:rsidRDefault="00226313" w:rsidP="00CF1D89">
            <w:pPr>
              <w:spacing w:after="0" w:line="240" w:lineRule="auto"/>
              <w:rPr>
                <w:rFonts w:eastAsia="Times New Roman" w:cs="Times New Roman"/>
                <w:b/>
                <w:bCs/>
                <w:color w:val="000000"/>
                <w:sz w:val="24"/>
                <w:szCs w:val="24"/>
                <w:lang w:eastAsia="ru-RU"/>
              </w:rPr>
            </w:pPr>
            <w:r w:rsidRPr="00CF1D89">
              <w:rPr>
                <w:rFonts w:eastAsia="Times New Roman" w:cs="Times New Roman"/>
                <w:b/>
                <w:bCs/>
                <w:color w:val="000000"/>
                <w:sz w:val="24"/>
                <w:szCs w:val="24"/>
                <w:lang w:eastAsia="ru-RU"/>
              </w:rPr>
              <w:t>Стоматологические услуги</w:t>
            </w:r>
          </w:p>
        </w:tc>
        <w:tc>
          <w:tcPr>
            <w:tcW w:w="276" w:type="dxa"/>
            <w:tcBorders>
              <w:top w:val="nil"/>
              <w:left w:val="nil"/>
              <w:bottom w:val="nil"/>
              <w:right w:val="nil"/>
            </w:tcBorders>
            <w:shd w:val="clear" w:color="auto" w:fill="auto"/>
            <w:noWrap/>
            <w:vAlign w:val="bottom"/>
            <w:hideMark/>
          </w:tcPr>
          <w:p w:rsidR="00226313" w:rsidRPr="00CF1D89" w:rsidRDefault="00226313" w:rsidP="00CF1D89">
            <w:pPr>
              <w:spacing w:after="0" w:line="240" w:lineRule="auto"/>
              <w:rPr>
                <w:rFonts w:eastAsia="Times New Roman" w:cs="Times New Roman"/>
                <w:color w:val="000000"/>
                <w:sz w:val="24"/>
                <w:szCs w:val="24"/>
                <w:lang w:eastAsia="ru-RU"/>
              </w:rPr>
            </w:pPr>
          </w:p>
        </w:tc>
        <w:tc>
          <w:tcPr>
            <w:tcW w:w="1180" w:type="dxa"/>
            <w:gridSpan w:val="2"/>
            <w:tcBorders>
              <w:top w:val="nil"/>
              <w:left w:val="nil"/>
              <w:bottom w:val="nil"/>
              <w:right w:val="nil"/>
            </w:tcBorders>
            <w:shd w:val="clear" w:color="auto" w:fill="auto"/>
            <w:noWrap/>
            <w:vAlign w:val="bottom"/>
            <w:hideMark/>
          </w:tcPr>
          <w:p w:rsidR="00226313" w:rsidRPr="00CF1D89" w:rsidRDefault="00226313" w:rsidP="00CF1D89">
            <w:pPr>
              <w:spacing w:after="0" w:line="240" w:lineRule="auto"/>
              <w:jc w:val="right"/>
              <w:rPr>
                <w:rFonts w:eastAsia="Times New Roman" w:cs="Times New Roman"/>
                <w:color w:val="000000"/>
                <w:sz w:val="24"/>
                <w:szCs w:val="24"/>
                <w:lang w:eastAsia="ru-RU"/>
              </w:rPr>
            </w:pPr>
            <w:r>
              <w:rPr>
                <w:rFonts w:eastAsia="Times New Roman" w:cs="Times New Roman"/>
                <w:color w:val="000000"/>
                <w:sz w:val="24"/>
                <w:szCs w:val="24"/>
                <w:lang w:eastAsia="ru-RU"/>
              </w:rPr>
              <w:t>0,3</w:t>
            </w:r>
          </w:p>
        </w:tc>
        <w:tc>
          <w:tcPr>
            <w:tcW w:w="960" w:type="dxa"/>
            <w:gridSpan w:val="2"/>
            <w:tcBorders>
              <w:top w:val="nil"/>
              <w:left w:val="nil"/>
              <w:bottom w:val="nil"/>
              <w:right w:val="nil"/>
            </w:tcBorders>
            <w:shd w:val="clear" w:color="auto" w:fill="auto"/>
            <w:noWrap/>
            <w:vAlign w:val="bottom"/>
            <w:hideMark/>
          </w:tcPr>
          <w:p w:rsidR="00226313" w:rsidRPr="00CF1D89" w:rsidRDefault="00226313" w:rsidP="00CF1D89">
            <w:pPr>
              <w:spacing w:after="0" w:line="240" w:lineRule="auto"/>
              <w:jc w:val="right"/>
              <w:rPr>
                <w:rFonts w:eastAsia="Times New Roman" w:cs="Times New Roman"/>
                <w:color w:val="000000"/>
                <w:sz w:val="24"/>
                <w:szCs w:val="24"/>
                <w:lang w:eastAsia="ru-RU"/>
              </w:rPr>
            </w:pPr>
            <w:r>
              <w:rPr>
                <w:rFonts w:eastAsia="Times New Roman" w:cs="Times New Roman"/>
                <w:color w:val="000000"/>
                <w:sz w:val="24"/>
                <w:szCs w:val="24"/>
                <w:lang w:eastAsia="ru-RU"/>
              </w:rPr>
              <w:t>1,5</w:t>
            </w:r>
          </w:p>
        </w:tc>
        <w:tc>
          <w:tcPr>
            <w:tcW w:w="960" w:type="dxa"/>
            <w:gridSpan w:val="2"/>
            <w:tcBorders>
              <w:top w:val="nil"/>
              <w:left w:val="nil"/>
              <w:bottom w:val="nil"/>
              <w:right w:val="nil"/>
            </w:tcBorders>
            <w:shd w:val="clear" w:color="auto" w:fill="auto"/>
            <w:noWrap/>
            <w:vAlign w:val="bottom"/>
            <w:hideMark/>
          </w:tcPr>
          <w:p w:rsidR="00226313" w:rsidRPr="00CF1D89" w:rsidRDefault="00226313" w:rsidP="00CF1D89">
            <w:pPr>
              <w:spacing w:after="0" w:line="240" w:lineRule="auto"/>
              <w:jc w:val="right"/>
              <w:rPr>
                <w:rFonts w:eastAsia="Times New Roman" w:cs="Times New Roman"/>
                <w:color w:val="000000"/>
                <w:sz w:val="24"/>
                <w:szCs w:val="24"/>
                <w:lang w:eastAsia="ru-RU"/>
              </w:rPr>
            </w:pPr>
            <w:r>
              <w:rPr>
                <w:rFonts w:eastAsia="Times New Roman" w:cs="Times New Roman"/>
                <w:color w:val="000000"/>
                <w:sz w:val="24"/>
                <w:szCs w:val="24"/>
                <w:lang w:eastAsia="ru-RU"/>
              </w:rPr>
              <w:t>-2,0</w:t>
            </w:r>
          </w:p>
        </w:tc>
        <w:tc>
          <w:tcPr>
            <w:tcW w:w="960" w:type="dxa"/>
            <w:gridSpan w:val="2"/>
            <w:tcBorders>
              <w:top w:val="nil"/>
              <w:left w:val="nil"/>
              <w:bottom w:val="nil"/>
              <w:right w:val="nil"/>
            </w:tcBorders>
            <w:shd w:val="clear" w:color="auto" w:fill="auto"/>
            <w:noWrap/>
            <w:vAlign w:val="bottom"/>
            <w:hideMark/>
          </w:tcPr>
          <w:p w:rsidR="00226313" w:rsidRPr="00CF1D89" w:rsidRDefault="00226313" w:rsidP="00CF1D89">
            <w:pPr>
              <w:spacing w:after="0" w:line="240" w:lineRule="auto"/>
              <w:jc w:val="right"/>
              <w:rPr>
                <w:rFonts w:eastAsia="Times New Roman" w:cs="Times New Roman"/>
                <w:color w:val="000000"/>
                <w:sz w:val="24"/>
                <w:szCs w:val="24"/>
                <w:lang w:eastAsia="ru-RU"/>
              </w:rPr>
            </w:pPr>
            <w:r>
              <w:rPr>
                <w:rFonts w:eastAsia="Times New Roman" w:cs="Times New Roman"/>
                <w:color w:val="000000"/>
                <w:sz w:val="24"/>
                <w:szCs w:val="24"/>
                <w:lang w:eastAsia="ru-RU"/>
              </w:rPr>
              <w:t>2,7</w:t>
            </w:r>
          </w:p>
        </w:tc>
        <w:tc>
          <w:tcPr>
            <w:tcW w:w="960" w:type="dxa"/>
            <w:gridSpan w:val="2"/>
            <w:tcBorders>
              <w:top w:val="nil"/>
              <w:left w:val="nil"/>
              <w:bottom w:val="nil"/>
              <w:right w:val="nil"/>
            </w:tcBorders>
            <w:shd w:val="clear" w:color="auto" w:fill="auto"/>
            <w:noWrap/>
            <w:vAlign w:val="bottom"/>
            <w:hideMark/>
          </w:tcPr>
          <w:p w:rsidR="00226313" w:rsidRPr="00CF1D89" w:rsidRDefault="00226313" w:rsidP="00CF1D89">
            <w:pPr>
              <w:spacing w:after="0" w:line="240" w:lineRule="auto"/>
              <w:jc w:val="right"/>
              <w:rPr>
                <w:rFonts w:eastAsia="Times New Roman" w:cs="Times New Roman"/>
                <w:color w:val="000000"/>
                <w:sz w:val="24"/>
                <w:szCs w:val="24"/>
                <w:lang w:eastAsia="ru-RU"/>
              </w:rPr>
            </w:pPr>
            <w:r>
              <w:rPr>
                <w:rFonts w:eastAsia="Times New Roman" w:cs="Times New Roman"/>
                <w:color w:val="000000"/>
                <w:sz w:val="24"/>
                <w:szCs w:val="24"/>
                <w:lang w:eastAsia="ru-RU"/>
              </w:rPr>
              <w:t>-0,4</w:t>
            </w:r>
          </w:p>
        </w:tc>
        <w:tc>
          <w:tcPr>
            <w:tcW w:w="960" w:type="dxa"/>
            <w:gridSpan w:val="2"/>
            <w:tcBorders>
              <w:top w:val="nil"/>
              <w:left w:val="nil"/>
              <w:bottom w:val="nil"/>
              <w:right w:val="nil"/>
            </w:tcBorders>
            <w:shd w:val="clear" w:color="auto" w:fill="auto"/>
            <w:noWrap/>
            <w:vAlign w:val="bottom"/>
            <w:hideMark/>
          </w:tcPr>
          <w:p w:rsidR="00226313" w:rsidRPr="00CF1D89" w:rsidRDefault="00226313" w:rsidP="00CF1D89">
            <w:pPr>
              <w:spacing w:after="0" w:line="240" w:lineRule="auto"/>
              <w:jc w:val="right"/>
              <w:rPr>
                <w:rFonts w:eastAsia="Times New Roman" w:cs="Times New Roman"/>
                <w:color w:val="000000"/>
                <w:sz w:val="24"/>
                <w:szCs w:val="24"/>
                <w:lang w:eastAsia="ru-RU"/>
              </w:rPr>
            </w:pPr>
            <w:r>
              <w:rPr>
                <w:rFonts w:eastAsia="Times New Roman" w:cs="Times New Roman"/>
                <w:color w:val="000000"/>
                <w:sz w:val="24"/>
                <w:szCs w:val="24"/>
                <w:lang w:eastAsia="ru-RU"/>
              </w:rPr>
              <w:t>-3,2</w:t>
            </w:r>
          </w:p>
        </w:tc>
        <w:tc>
          <w:tcPr>
            <w:tcW w:w="724" w:type="dxa"/>
            <w:tcBorders>
              <w:top w:val="nil"/>
              <w:left w:val="nil"/>
              <w:bottom w:val="nil"/>
              <w:right w:val="single" w:sz="8" w:space="0" w:color="auto"/>
            </w:tcBorders>
            <w:shd w:val="clear" w:color="auto" w:fill="auto"/>
            <w:noWrap/>
            <w:vAlign w:val="bottom"/>
            <w:hideMark/>
          </w:tcPr>
          <w:p w:rsidR="00226313" w:rsidRPr="00CF1D89" w:rsidRDefault="00E57525" w:rsidP="00CF1D89">
            <w:pPr>
              <w:spacing w:after="0" w:line="240" w:lineRule="auto"/>
              <w:jc w:val="right"/>
              <w:rPr>
                <w:rFonts w:eastAsia="Times New Roman" w:cs="Times New Roman"/>
                <w:color w:val="000000"/>
                <w:sz w:val="24"/>
                <w:szCs w:val="24"/>
                <w:lang w:eastAsia="ru-RU"/>
              </w:rPr>
            </w:pPr>
            <w:r>
              <w:rPr>
                <w:rFonts w:eastAsia="Times New Roman" w:cs="Times New Roman"/>
                <w:color w:val="000000"/>
                <w:sz w:val="24"/>
                <w:szCs w:val="24"/>
                <w:lang w:eastAsia="ru-RU"/>
              </w:rPr>
              <w:t>0,9</w:t>
            </w:r>
          </w:p>
        </w:tc>
      </w:tr>
      <w:tr w:rsidR="00226313" w:rsidRPr="00CF1D89" w:rsidTr="00226313">
        <w:trPr>
          <w:divId w:val="872570649"/>
          <w:trHeight w:val="285"/>
        </w:trPr>
        <w:tc>
          <w:tcPr>
            <w:tcW w:w="2382" w:type="dxa"/>
            <w:tcBorders>
              <w:top w:val="nil"/>
              <w:left w:val="single" w:sz="8" w:space="0" w:color="auto"/>
              <w:bottom w:val="single" w:sz="8" w:space="0" w:color="auto"/>
              <w:right w:val="nil"/>
            </w:tcBorders>
            <w:shd w:val="clear" w:color="auto" w:fill="auto"/>
            <w:noWrap/>
            <w:vAlign w:val="bottom"/>
            <w:hideMark/>
          </w:tcPr>
          <w:p w:rsidR="00226313" w:rsidRPr="00CF1D89" w:rsidRDefault="00226313" w:rsidP="00CF1D89">
            <w:pPr>
              <w:spacing w:after="0" w:line="240" w:lineRule="auto"/>
              <w:rPr>
                <w:rFonts w:eastAsia="Times New Roman" w:cs="Times New Roman"/>
                <w:b/>
                <w:bCs/>
                <w:color w:val="000000"/>
                <w:sz w:val="24"/>
                <w:szCs w:val="24"/>
                <w:lang w:eastAsia="ru-RU"/>
              </w:rPr>
            </w:pPr>
            <w:r w:rsidRPr="00CF1D89">
              <w:rPr>
                <w:rFonts w:eastAsia="Times New Roman" w:cs="Times New Roman"/>
                <w:b/>
                <w:bCs/>
                <w:color w:val="000000"/>
                <w:sz w:val="24"/>
                <w:szCs w:val="24"/>
                <w:lang w:eastAsia="ru-RU"/>
              </w:rPr>
              <w:t>Парамедицинские услуги</w:t>
            </w:r>
          </w:p>
        </w:tc>
        <w:tc>
          <w:tcPr>
            <w:tcW w:w="276" w:type="dxa"/>
            <w:tcBorders>
              <w:top w:val="nil"/>
              <w:left w:val="nil"/>
              <w:bottom w:val="single" w:sz="8" w:space="0" w:color="auto"/>
              <w:right w:val="nil"/>
            </w:tcBorders>
            <w:shd w:val="clear" w:color="auto" w:fill="auto"/>
            <w:noWrap/>
            <w:vAlign w:val="bottom"/>
            <w:hideMark/>
          </w:tcPr>
          <w:p w:rsidR="00226313" w:rsidRPr="00CF1D89" w:rsidRDefault="00226313" w:rsidP="00CF1D89">
            <w:pPr>
              <w:spacing w:after="0" w:line="240" w:lineRule="auto"/>
              <w:rPr>
                <w:rFonts w:ascii="Century Gothic" w:eastAsia="Times New Roman" w:hAnsi="Century Gothic" w:cs="Calibri"/>
                <w:color w:val="000000"/>
                <w:sz w:val="16"/>
                <w:szCs w:val="16"/>
                <w:lang w:eastAsia="ru-RU"/>
              </w:rPr>
            </w:pPr>
            <w:r w:rsidRPr="00CF1D89">
              <w:rPr>
                <w:rFonts w:eastAsia="Times New Roman" w:cs="Times New Roman"/>
                <w:color w:val="000000"/>
                <w:sz w:val="24"/>
                <w:szCs w:val="24"/>
                <w:lang w:eastAsia="ru-RU"/>
              </w:rPr>
              <w:t> </w:t>
            </w:r>
          </w:p>
        </w:tc>
        <w:tc>
          <w:tcPr>
            <w:tcW w:w="1180" w:type="dxa"/>
            <w:gridSpan w:val="2"/>
            <w:tcBorders>
              <w:top w:val="nil"/>
              <w:left w:val="nil"/>
              <w:bottom w:val="single" w:sz="8" w:space="0" w:color="auto"/>
              <w:right w:val="nil"/>
            </w:tcBorders>
            <w:shd w:val="clear" w:color="auto" w:fill="auto"/>
            <w:noWrap/>
            <w:vAlign w:val="bottom"/>
            <w:hideMark/>
          </w:tcPr>
          <w:p w:rsidR="00226313" w:rsidRPr="00CF1D89" w:rsidRDefault="00226313" w:rsidP="00CF1D89">
            <w:pPr>
              <w:spacing w:after="0" w:line="240" w:lineRule="auto"/>
              <w:jc w:val="right"/>
              <w:rPr>
                <w:rFonts w:eastAsia="Times New Roman" w:cs="Times New Roman"/>
                <w:color w:val="000000"/>
                <w:sz w:val="24"/>
                <w:szCs w:val="24"/>
                <w:lang w:eastAsia="ru-RU"/>
              </w:rPr>
            </w:pPr>
            <w:r>
              <w:rPr>
                <w:rFonts w:eastAsia="Times New Roman" w:cs="Times New Roman"/>
                <w:color w:val="000000"/>
                <w:sz w:val="24"/>
                <w:szCs w:val="24"/>
                <w:lang w:eastAsia="ru-RU"/>
              </w:rPr>
              <w:t>-5,1</w:t>
            </w:r>
          </w:p>
        </w:tc>
        <w:tc>
          <w:tcPr>
            <w:tcW w:w="960" w:type="dxa"/>
            <w:gridSpan w:val="2"/>
            <w:tcBorders>
              <w:top w:val="nil"/>
              <w:left w:val="nil"/>
              <w:bottom w:val="single" w:sz="8" w:space="0" w:color="auto"/>
              <w:right w:val="nil"/>
            </w:tcBorders>
            <w:shd w:val="clear" w:color="auto" w:fill="auto"/>
            <w:noWrap/>
            <w:vAlign w:val="bottom"/>
            <w:hideMark/>
          </w:tcPr>
          <w:p w:rsidR="00226313" w:rsidRPr="00CF1D89" w:rsidRDefault="00226313" w:rsidP="00CF1D89">
            <w:pPr>
              <w:spacing w:after="0" w:line="240" w:lineRule="auto"/>
              <w:jc w:val="right"/>
              <w:rPr>
                <w:rFonts w:eastAsia="Times New Roman" w:cs="Times New Roman"/>
                <w:color w:val="000000"/>
                <w:sz w:val="24"/>
                <w:szCs w:val="24"/>
                <w:lang w:eastAsia="ru-RU"/>
              </w:rPr>
            </w:pPr>
            <w:r>
              <w:rPr>
                <w:rFonts w:eastAsia="Times New Roman" w:cs="Times New Roman"/>
                <w:color w:val="000000"/>
                <w:sz w:val="24"/>
                <w:szCs w:val="24"/>
                <w:lang w:eastAsia="ru-RU"/>
              </w:rPr>
              <w:t>2,2</w:t>
            </w:r>
          </w:p>
        </w:tc>
        <w:tc>
          <w:tcPr>
            <w:tcW w:w="960" w:type="dxa"/>
            <w:gridSpan w:val="2"/>
            <w:tcBorders>
              <w:top w:val="nil"/>
              <w:left w:val="nil"/>
              <w:bottom w:val="single" w:sz="8" w:space="0" w:color="auto"/>
              <w:right w:val="nil"/>
            </w:tcBorders>
            <w:shd w:val="clear" w:color="auto" w:fill="auto"/>
            <w:noWrap/>
            <w:vAlign w:val="bottom"/>
            <w:hideMark/>
          </w:tcPr>
          <w:p w:rsidR="00226313" w:rsidRPr="00CF1D89" w:rsidRDefault="00226313" w:rsidP="00CF1D89">
            <w:pPr>
              <w:spacing w:after="0" w:line="240" w:lineRule="auto"/>
              <w:jc w:val="right"/>
              <w:rPr>
                <w:rFonts w:eastAsia="Times New Roman" w:cs="Times New Roman"/>
                <w:color w:val="000000"/>
                <w:sz w:val="24"/>
                <w:szCs w:val="24"/>
                <w:lang w:eastAsia="ru-RU"/>
              </w:rPr>
            </w:pPr>
            <w:r>
              <w:rPr>
                <w:rFonts w:eastAsia="Times New Roman" w:cs="Times New Roman"/>
                <w:color w:val="000000"/>
                <w:sz w:val="24"/>
                <w:szCs w:val="24"/>
                <w:lang w:eastAsia="ru-RU"/>
              </w:rPr>
              <w:t>2,0</w:t>
            </w:r>
          </w:p>
        </w:tc>
        <w:tc>
          <w:tcPr>
            <w:tcW w:w="960" w:type="dxa"/>
            <w:gridSpan w:val="2"/>
            <w:tcBorders>
              <w:top w:val="nil"/>
              <w:left w:val="nil"/>
              <w:bottom w:val="single" w:sz="8" w:space="0" w:color="auto"/>
              <w:right w:val="nil"/>
            </w:tcBorders>
            <w:shd w:val="clear" w:color="auto" w:fill="auto"/>
            <w:noWrap/>
            <w:vAlign w:val="bottom"/>
            <w:hideMark/>
          </w:tcPr>
          <w:p w:rsidR="00226313" w:rsidRPr="00CF1D89" w:rsidRDefault="00226313" w:rsidP="00CF1D89">
            <w:pPr>
              <w:spacing w:after="0" w:line="240" w:lineRule="auto"/>
              <w:jc w:val="right"/>
              <w:rPr>
                <w:rFonts w:eastAsia="Times New Roman" w:cs="Times New Roman"/>
                <w:color w:val="000000"/>
                <w:sz w:val="24"/>
                <w:szCs w:val="24"/>
                <w:lang w:eastAsia="ru-RU"/>
              </w:rPr>
            </w:pPr>
            <w:r>
              <w:rPr>
                <w:rFonts w:eastAsia="Times New Roman" w:cs="Times New Roman"/>
                <w:color w:val="000000"/>
                <w:sz w:val="24"/>
                <w:szCs w:val="24"/>
                <w:lang w:eastAsia="ru-RU"/>
              </w:rPr>
              <w:t>-1,3</w:t>
            </w:r>
          </w:p>
        </w:tc>
        <w:tc>
          <w:tcPr>
            <w:tcW w:w="960" w:type="dxa"/>
            <w:gridSpan w:val="2"/>
            <w:tcBorders>
              <w:top w:val="nil"/>
              <w:left w:val="nil"/>
              <w:bottom w:val="single" w:sz="8" w:space="0" w:color="auto"/>
              <w:right w:val="nil"/>
            </w:tcBorders>
            <w:shd w:val="clear" w:color="auto" w:fill="auto"/>
            <w:noWrap/>
            <w:vAlign w:val="bottom"/>
            <w:hideMark/>
          </w:tcPr>
          <w:p w:rsidR="00226313" w:rsidRPr="00CF1D89" w:rsidRDefault="00226313" w:rsidP="00CF1D89">
            <w:pPr>
              <w:spacing w:after="0" w:line="240" w:lineRule="auto"/>
              <w:jc w:val="right"/>
              <w:rPr>
                <w:rFonts w:eastAsia="Times New Roman" w:cs="Times New Roman"/>
                <w:color w:val="000000"/>
                <w:sz w:val="24"/>
                <w:szCs w:val="24"/>
                <w:lang w:eastAsia="ru-RU"/>
              </w:rPr>
            </w:pPr>
            <w:r>
              <w:rPr>
                <w:rFonts w:eastAsia="Times New Roman" w:cs="Times New Roman"/>
                <w:color w:val="000000"/>
                <w:sz w:val="24"/>
                <w:szCs w:val="24"/>
                <w:lang w:eastAsia="ru-RU"/>
              </w:rPr>
              <w:t>1,5</w:t>
            </w:r>
          </w:p>
        </w:tc>
        <w:tc>
          <w:tcPr>
            <w:tcW w:w="960" w:type="dxa"/>
            <w:gridSpan w:val="2"/>
            <w:tcBorders>
              <w:top w:val="nil"/>
              <w:left w:val="nil"/>
              <w:bottom w:val="single" w:sz="8" w:space="0" w:color="auto"/>
              <w:right w:val="nil"/>
            </w:tcBorders>
            <w:shd w:val="clear" w:color="auto" w:fill="auto"/>
            <w:noWrap/>
            <w:vAlign w:val="bottom"/>
            <w:hideMark/>
          </w:tcPr>
          <w:p w:rsidR="00226313" w:rsidRPr="00CF1D89" w:rsidRDefault="00226313" w:rsidP="00CF1D89">
            <w:pPr>
              <w:spacing w:after="0" w:line="240" w:lineRule="auto"/>
              <w:jc w:val="right"/>
              <w:rPr>
                <w:rFonts w:eastAsia="Times New Roman" w:cs="Times New Roman"/>
                <w:color w:val="000000"/>
                <w:sz w:val="24"/>
                <w:szCs w:val="24"/>
                <w:lang w:eastAsia="ru-RU"/>
              </w:rPr>
            </w:pPr>
            <w:r>
              <w:rPr>
                <w:rFonts w:eastAsia="Times New Roman" w:cs="Times New Roman"/>
                <w:color w:val="000000"/>
                <w:sz w:val="24"/>
                <w:szCs w:val="24"/>
                <w:lang w:eastAsia="ru-RU"/>
              </w:rPr>
              <w:t>1,4</w:t>
            </w:r>
          </w:p>
        </w:tc>
        <w:tc>
          <w:tcPr>
            <w:tcW w:w="724" w:type="dxa"/>
            <w:tcBorders>
              <w:top w:val="nil"/>
              <w:left w:val="nil"/>
              <w:bottom w:val="single" w:sz="8" w:space="0" w:color="auto"/>
              <w:right w:val="single" w:sz="8" w:space="0" w:color="auto"/>
            </w:tcBorders>
            <w:shd w:val="clear" w:color="auto" w:fill="auto"/>
            <w:noWrap/>
            <w:vAlign w:val="bottom"/>
            <w:hideMark/>
          </w:tcPr>
          <w:p w:rsidR="00226313" w:rsidRPr="00CF1D89" w:rsidRDefault="00E57525" w:rsidP="00CF1D89">
            <w:pPr>
              <w:spacing w:after="0" w:line="240" w:lineRule="auto"/>
              <w:jc w:val="right"/>
              <w:rPr>
                <w:rFonts w:eastAsia="Times New Roman" w:cs="Times New Roman"/>
                <w:color w:val="000000"/>
                <w:sz w:val="24"/>
                <w:szCs w:val="24"/>
                <w:lang w:eastAsia="ru-RU"/>
              </w:rPr>
            </w:pPr>
            <w:r>
              <w:rPr>
                <w:rFonts w:eastAsia="Times New Roman" w:cs="Times New Roman"/>
                <w:color w:val="000000"/>
                <w:sz w:val="24"/>
                <w:szCs w:val="24"/>
                <w:lang w:eastAsia="ru-RU"/>
              </w:rPr>
              <w:t>-3,2</w:t>
            </w:r>
          </w:p>
        </w:tc>
      </w:tr>
      <w:tr w:rsidR="00226313" w:rsidRPr="00CF1D89" w:rsidTr="00226313">
        <w:trPr>
          <w:divId w:val="872570649"/>
          <w:trHeight w:val="285"/>
        </w:trPr>
        <w:tc>
          <w:tcPr>
            <w:tcW w:w="2382" w:type="dxa"/>
            <w:tcBorders>
              <w:top w:val="nil"/>
              <w:left w:val="nil"/>
              <w:bottom w:val="nil"/>
              <w:right w:val="nil"/>
            </w:tcBorders>
            <w:shd w:val="clear" w:color="auto" w:fill="auto"/>
            <w:noWrap/>
            <w:vAlign w:val="bottom"/>
            <w:hideMark/>
          </w:tcPr>
          <w:p w:rsidR="00226313" w:rsidRPr="00CF1D89" w:rsidRDefault="00226313" w:rsidP="00CF1D89">
            <w:pPr>
              <w:spacing w:after="0" w:line="240" w:lineRule="auto"/>
              <w:rPr>
                <w:rFonts w:eastAsia="Times New Roman" w:cs="Times New Roman"/>
                <w:color w:val="000000"/>
                <w:sz w:val="24"/>
                <w:szCs w:val="24"/>
                <w:lang w:eastAsia="ru-RU"/>
              </w:rPr>
            </w:pPr>
          </w:p>
        </w:tc>
        <w:tc>
          <w:tcPr>
            <w:tcW w:w="276" w:type="dxa"/>
            <w:tcBorders>
              <w:top w:val="nil"/>
              <w:left w:val="nil"/>
              <w:bottom w:val="nil"/>
              <w:right w:val="nil"/>
            </w:tcBorders>
            <w:shd w:val="clear" w:color="auto" w:fill="auto"/>
            <w:noWrap/>
            <w:vAlign w:val="bottom"/>
            <w:hideMark/>
          </w:tcPr>
          <w:p w:rsidR="00226313" w:rsidRPr="00CF1D89" w:rsidRDefault="00226313" w:rsidP="00CF1D89">
            <w:pPr>
              <w:spacing w:after="0" w:line="240" w:lineRule="auto"/>
              <w:rPr>
                <w:rFonts w:eastAsia="Times New Roman" w:cs="Times New Roman"/>
                <w:color w:val="000000"/>
                <w:sz w:val="24"/>
                <w:szCs w:val="24"/>
                <w:lang w:eastAsia="ru-RU"/>
              </w:rPr>
            </w:pPr>
          </w:p>
        </w:tc>
        <w:tc>
          <w:tcPr>
            <w:tcW w:w="1180" w:type="dxa"/>
            <w:gridSpan w:val="2"/>
            <w:tcBorders>
              <w:top w:val="nil"/>
              <w:left w:val="nil"/>
              <w:bottom w:val="nil"/>
              <w:right w:val="nil"/>
            </w:tcBorders>
            <w:shd w:val="clear" w:color="auto" w:fill="auto"/>
            <w:noWrap/>
            <w:vAlign w:val="bottom"/>
            <w:hideMark/>
          </w:tcPr>
          <w:p w:rsidR="00226313" w:rsidRPr="00CF1D89" w:rsidRDefault="00226313" w:rsidP="00CF1D89">
            <w:pPr>
              <w:spacing w:after="0" w:line="240" w:lineRule="auto"/>
              <w:rPr>
                <w:rFonts w:eastAsia="Times New Roman" w:cs="Times New Roman"/>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226313" w:rsidRPr="00CF1D89" w:rsidRDefault="00226313" w:rsidP="00CF1D89">
            <w:pPr>
              <w:spacing w:after="0" w:line="240" w:lineRule="auto"/>
              <w:rPr>
                <w:rFonts w:eastAsia="Times New Roman" w:cs="Times New Roman"/>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226313" w:rsidRPr="00CF1D89" w:rsidRDefault="00226313" w:rsidP="00CF1D89">
            <w:pPr>
              <w:spacing w:after="0" w:line="240" w:lineRule="auto"/>
              <w:rPr>
                <w:rFonts w:eastAsia="Times New Roman" w:cs="Times New Roman"/>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226313" w:rsidRPr="00CF1D89" w:rsidRDefault="00226313" w:rsidP="00CF1D89">
            <w:pPr>
              <w:spacing w:after="0" w:line="240" w:lineRule="auto"/>
              <w:rPr>
                <w:rFonts w:eastAsia="Times New Roman" w:cs="Times New Roman"/>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226313" w:rsidRPr="00CF1D89" w:rsidRDefault="00226313" w:rsidP="00CF1D89">
            <w:pPr>
              <w:spacing w:after="0" w:line="240" w:lineRule="auto"/>
              <w:rPr>
                <w:rFonts w:eastAsia="Times New Roman" w:cs="Times New Roman"/>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226313" w:rsidRPr="00CF1D89" w:rsidRDefault="00226313" w:rsidP="00CF1D89">
            <w:pPr>
              <w:spacing w:after="0" w:line="240" w:lineRule="auto"/>
              <w:rPr>
                <w:rFonts w:eastAsia="Times New Roman" w:cs="Times New Roman"/>
                <w:color w:val="000000"/>
                <w:sz w:val="24"/>
                <w:szCs w:val="24"/>
                <w:lang w:eastAsia="ru-RU"/>
              </w:rPr>
            </w:pPr>
          </w:p>
        </w:tc>
        <w:tc>
          <w:tcPr>
            <w:tcW w:w="724" w:type="dxa"/>
            <w:tcBorders>
              <w:top w:val="nil"/>
              <w:left w:val="nil"/>
              <w:bottom w:val="nil"/>
              <w:right w:val="nil"/>
            </w:tcBorders>
            <w:shd w:val="clear" w:color="auto" w:fill="auto"/>
            <w:noWrap/>
            <w:vAlign w:val="bottom"/>
            <w:hideMark/>
          </w:tcPr>
          <w:p w:rsidR="00226313" w:rsidRPr="00CF1D89" w:rsidRDefault="00226313" w:rsidP="00CF1D89">
            <w:pPr>
              <w:spacing w:after="0" w:line="240" w:lineRule="auto"/>
              <w:rPr>
                <w:rFonts w:eastAsia="Times New Roman" w:cs="Times New Roman"/>
                <w:color w:val="000000"/>
                <w:sz w:val="24"/>
                <w:szCs w:val="24"/>
                <w:lang w:eastAsia="ru-RU"/>
              </w:rPr>
            </w:pPr>
          </w:p>
        </w:tc>
      </w:tr>
      <w:tr w:rsidR="00226313" w:rsidRPr="00CF1D89" w:rsidTr="00226313">
        <w:trPr>
          <w:divId w:val="872570649"/>
          <w:trHeight w:val="285"/>
        </w:trPr>
        <w:tc>
          <w:tcPr>
            <w:tcW w:w="2382" w:type="dxa"/>
            <w:tcBorders>
              <w:top w:val="single" w:sz="8" w:space="0" w:color="auto"/>
              <w:left w:val="single" w:sz="8" w:space="0" w:color="auto"/>
              <w:bottom w:val="single" w:sz="8" w:space="0" w:color="auto"/>
              <w:right w:val="nil"/>
            </w:tcBorders>
            <w:shd w:val="clear" w:color="auto" w:fill="auto"/>
            <w:noWrap/>
            <w:vAlign w:val="bottom"/>
            <w:hideMark/>
          </w:tcPr>
          <w:p w:rsidR="00226313" w:rsidRPr="00CF1D89" w:rsidRDefault="00226313" w:rsidP="00CF1D89">
            <w:pPr>
              <w:spacing w:after="0" w:line="240" w:lineRule="auto"/>
              <w:rPr>
                <w:rFonts w:eastAsia="Times New Roman" w:cs="Times New Roman"/>
                <w:b/>
                <w:bCs/>
                <w:color w:val="000000"/>
                <w:sz w:val="24"/>
                <w:szCs w:val="24"/>
                <w:lang w:eastAsia="ru-RU"/>
              </w:rPr>
            </w:pPr>
            <w:r w:rsidRPr="00CF1D89">
              <w:rPr>
                <w:rFonts w:eastAsia="Times New Roman" w:cs="Times New Roman"/>
                <w:b/>
                <w:bCs/>
                <w:color w:val="000000"/>
                <w:sz w:val="24"/>
                <w:szCs w:val="24"/>
                <w:lang w:eastAsia="ru-RU"/>
              </w:rPr>
              <w:t>Индекс потребительских цен</w:t>
            </w:r>
          </w:p>
        </w:tc>
        <w:tc>
          <w:tcPr>
            <w:tcW w:w="1220" w:type="dxa"/>
            <w:gridSpan w:val="2"/>
            <w:tcBorders>
              <w:top w:val="single" w:sz="8" w:space="0" w:color="auto"/>
              <w:left w:val="nil"/>
              <w:bottom w:val="single" w:sz="8" w:space="0" w:color="auto"/>
              <w:right w:val="nil"/>
            </w:tcBorders>
            <w:shd w:val="clear" w:color="auto" w:fill="auto"/>
            <w:noWrap/>
            <w:vAlign w:val="bottom"/>
            <w:hideMark/>
          </w:tcPr>
          <w:p w:rsidR="00226313" w:rsidRPr="00CF1D89" w:rsidRDefault="00226313" w:rsidP="00CF1D89">
            <w:pPr>
              <w:spacing w:after="0" w:line="240" w:lineRule="auto"/>
              <w:jc w:val="right"/>
              <w:rPr>
                <w:rFonts w:eastAsia="Times New Roman" w:cs="Times New Roman"/>
                <w:color w:val="000000"/>
                <w:sz w:val="24"/>
                <w:szCs w:val="24"/>
                <w:lang w:eastAsia="ru-RU"/>
              </w:rPr>
            </w:pPr>
            <w:r>
              <w:rPr>
                <w:rFonts w:eastAsia="Times New Roman" w:cs="Times New Roman"/>
                <w:color w:val="000000"/>
                <w:sz w:val="24"/>
                <w:szCs w:val="24"/>
                <w:lang w:eastAsia="ru-RU"/>
              </w:rPr>
              <w:t>-0,4</w:t>
            </w:r>
          </w:p>
        </w:tc>
        <w:tc>
          <w:tcPr>
            <w:tcW w:w="960" w:type="dxa"/>
            <w:gridSpan w:val="2"/>
            <w:tcBorders>
              <w:top w:val="single" w:sz="8" w:space="0" w:color="auto"/>
              <w:left w:val="nil"/>
              <w:bottom w:val="single" w:sz="8" w:space="0" w:color="auto"/>
              <w:right w:val="nil"/>
            </w:tcBorders>
            <w:shd w:val="clear" w:color="auto" w:fill="auto"/>
            <w:noWrap/>
            <w:vAlign w:val="bottom"/>
            <w:hideMark/>
          </w:tcPr>
          <w:p w:rsidR="00226313" w:rsidRPr="00CF1D89" w:rsidRDefault="00226313" w:rsidP="00CF1D89">
            <w:pPr>
              <w:spacing w:after="0" w:line="240" w:lineRule="auto"/>
              <w:jc w:val="right"/>
              <w:rPr>
                <w:rFonts w:eastAsia="Times New Roman" w:cs="Times New Roman"/>
                <w:color w:val="000000"/>
                <w:sz w:val="24"/>
                <w:szCs w:val="24"/>
                <w:lang w:eastAsia="ru-RU"/>
              </w:rPr>
            </w:pPr>
            <w:r>
              <w:rPr>
                <w:rFonts w:eastAsia="Times New Roman" w:cs="Times New Roman"/>
                <w:color w:val="000000"/>
                <w:sz w:val="24"/>
                <w:szCs w:val="24"/>
                <w:lang w:eastAsia="ru-RU"/>
              </w:rPr>
              <w:t>-1,3</w:t>
            </w:r>
          </w:p>
        </w:tc>
        <w:tc>
          <w:tcPr>
            <w:tcW w:w="960" w:type="dxa"/>
            <w:gridSpan w:val="2"/>
            <w:tcBorders>
              <w:top w:val="single" w:sz="8" w:space="0" w:color="auto"/>
              <w:left w:val="nil"/>
              <w:bottom w:val="single" w:sz="8" w:space="0" w:color="auto"/>
              <w:right w:val="nil"/>
            </w:tcBorders>
            <w:shd w:val="clear" w:color="auto" w:fill="auto"/>
            <w:noWrap/>
            <w:vAlign w:val="bottom"/>
            <w:hideMark/>
          </w:tcPr>
          <w:p w:rsidR="00226313" w:rsidRPr="00CF1D89" w:rsidRDefault="00226313" w:rsidP="00CF1D89">
            <w:pPr>
              <w:spacing w:after="0" w:line="240" w:lineRule="auto"/>
              <w:jc w:val="right"/>
              <w:rPr>
                <w:rFonts w:eastAsia="Times New Roman" w:cs="Times New Roman"/>
                <w:color w:val="000000"/>
                <w:sz w:val="24"/>
                <w:szCs w:val="24"/>
                <w:lang w:eastAsia="ru-RU"/>
              </w:rPr>
            </w:pPr>
            <w:r>
              <w:rPr>
                <w:rFonts w:eastAsia="Times New Roman" w:cs="Times New Roman"/>
                <w:color w:val="000000"/>
                <w:sz w:val="24"/>
                <w:szCs w:val="24"/>
                <w:lang w:eastAsia="ru-RU"/>
              </w:rPr>
              <w:t>-1,1</w:t>
            </w:r>
          </w:p>
        </w:tc>
        <w:tc>
          <w:tcPr>
            <w:tcW w:w="960" w:type="dxa"/>
            <w:gridSpan w:val="2"/>
            <w:tcBorders>
              <w:top w:val="single" w:sz="8" w:space="0" w:color="auto"/>
              <w:left w:val="nil"/>
              <w:bottom w:val="single" w:sz="8" w:space="0" w:color="auto"/>
              <w:right w:val="nil"/>
            </w:tcBorders>
            <w:shd w:val="clear" w:color="auto" w:fill="auto"/>
            <w:noWrap/>
            <w:vAlign w:val="bottom"/>
            <w:hideMark/>
          </w:tcPr>
          <w:p w:rsidR="00226313" w:rsidRPr="00CF1D89" w:rsidRDefault="00226313" w:rsidP="00CF1D89">
            <w:pPr>
              <w:spacing w:after="0" w:line="240" w:lineRule="auto"/>
              <w:jc w:val="right"/>
              <w:rPr>
                <w:rFonts w:eastAsia="Times New Roman" w:cs="Times New Roman"/>
                <w:color w:val="000000"/>
                <w:sz w:val="24"/>
                <w:szCs w:val="24"/>
                <w:lang w:eastAsia="ru-RU"/>
              </w:rPr>
            </w:pPr>
            <w:r>
              <w:rPr>
                <w:rFonts w:eastAsia="Times New Roman" w:cs="Times New Roman"/>
                <w:color w:val="000000"/>
                <w:sz w:val="24"/>
                <w:szCs w:val="24"/>
                <w:lang w:eastAsia="ru-RU"/>
              </w:rPr>
              <w:t>2,5</w:t>
            </w:r>
          </w:p>
        </w:tc>
        <w:tc>
          <w:tcPr>
            <w:tcW w:w="960" w:type="dxa"/>
            <w:gridSpan w:val="2"/>
            <w:tcBorders>
              <w:top w:val="single" w:sz="8" w:space="0" w:color="auto"/>
              <w:left w:val="nil"/>
              <w:bottom w:val="single" w:sz="8" w:space="0" w:color="auto"/>
              <w:right w:val="nil"/>
            </w:tcBorders>
            <w:shd w:val="clear" w:color="auto" w:fill="auto"/>
            <w:noWrap/>
            <w:vAlign w:val="bottom"/>
            <w:hideMark/>
          </w:tcPr>
          <w:p w:rsidR="00226313" w:rsidRPr="00CF1D89" w:rsidRDefault="00226313" w:rsidP="00CF1D89">
            <w:pPr>
              <w:spacing w:after="0" w:line="240" w:lineRule="auto"/>
              <w:jc w:val="right"/>
              <w:rPr>
                <w:rFonts w:eastAsia="Times New Roman" w:cs="Times New Roman"/>
                <w:color w:val="000000"/>
                <w:sz w:val="24"/>
                <w:szCs w:val="24"/>
                <w:lang w:eastAsia="ru-RU"/>
              </w:rPr>
            </w:pPr>
            <w:r>
              <w:rPr>
                <w:rFonts w:eastAsia="Times New Roman" w:cs="Times New Roman"/>
                <w:color w:val="000000"/>
                <w:sz w:val="24"/>
                <w:szCs w:val="24"/>
                <w:lang w:eastAsia="ru-RU"/>
              </w:rPr>
              <w:t>5,8</w:t>
            </w:r>
          </w:p>
        </w:tc>
        <w:tc>
          <w:tcPr>
            <w:tcW w:w="960" w:type="dxa"/>
            <w:gridSpan w:val="2"/>
            <w:tcBorders>
              <w:top w:val="single" w:sz="8" w:space="0" w:color="auto"/>
              <w:left w:val="nil"/>
              <w:bottom w:val="single" w:sz="8" w:space="0" w:color="auto"/>
              <w:right w:val="nil"/>
            </w:tcBorders>
            <w:shd w:val="clear" w:color="auto" w:fill="auto"/>
            <w:noWrap/>
            <w:vAlign w:val="bottom"/>
            <w:hideMark/>
          </w:tcPr>
          <w:p w:rsidR="00226313" w:rsidRPr="00CF1D89" w:rsidRDefault="00226313" w:rsidP="00CF1D89">
            <w:pPr>
              <w:spacing w:after="0" w:line="240" w:lineRule="auto"/>
              <w:jc w:val="right"/>
              <w:rPr>
                <w:rFonts w:eastAsia="Times New Roman" w:cs="Times New Roman"/>
                <w:color w:val="000000"/>
                <w:sz w:val="24"/>
                <w:szCs w:val="24"/>
                <w:lang w:eastAsia="ru-RU"/>
              </w:rPr>
            </w:pPr>
            <w:r>
              <w:rPr>
                <w:rFonts w:eastAsia="Times New Roman" w:cs="Times New Roman"/>
                <w:color w:val="000000"/>
                <w:sz w:val="24"/>
                <w:szCs w:val="24"/>
                <w:lang w:eastAsia="ru-RU"/>
              </w:rPr>
              <w:t>-4,5</w:t>
            </w:r>
          </w:p>
        </w:tc>
        <w:tc>
          <w:tcPr>
            <w:tcW w:w="960" w:type="dxa"/>
            <w:gridSpan w:val="2"/>
            <w:tcBorders>
              <w:top w:val="single" w:sz="8" w:space="0" w:color="auto"/>
              <w:left w:val="nil"/>
              <w:bottom w:val="single" w:sz="8" w:space="0" w:color="auto"/>
              <w:right w:val="single" w:sz="8" w:space="0" w:color="auto"/>
            </w:tcBorders>
            <w:shd w:val="clear" w:color="auto" w:fill="auto"/>
            <w:noWrap/>
            <w:vAlign w:val="bottom"/>
            <w:hideMark/>
          </w:tcPr>
          <w:p w:rsidR="00226313" w:rsidRPr="00CF1D89" w:rsidRDefault="00E57525" w:rsidP="00CF1D89">
            <w:pPr>
              <w:spacing w:after="0" w:line="240" w:lineRule="auto"/>
              <w:jc w:val="right"/>
              <w:rPr>
                <w:rFonts w:eastAsia="Times New Roman" w:cs="Times New Roman"/>
                <w:color w:val="000000"/>
                <w:sz w:val="24"/>
                <w:szCs w:val="24"/>
                <w:lang w:eastAsia="ru-RU"/>
              </w:rPr>
            </w:pPr>
            <w:r>
              <w:rPr>
                <w:rFonts w:eastAsia="Times New Roman" w:cs="Times New Roman"/>
                <w:color w:val="000000"/>
                <w:sz w:val="24"/>
                <w:szCs w:val="24"/>
                <w:lang w:eastAsia="ru-RU"/>
              </w:rPr>
              <w:t>-1,3</w:t>
            </w:r>
          </w:p>
        </w:tc>
      </w:tr>
    </w:tbl>
    <w:p w:rsidR="00342C10" w:rsidRPr="00DC0088" w:rsidRDefault="00CA443F" w:rsidP="00DC0088">
      <w:pPr>
        <w:spacing w:after="0" w:line="240" w:lineRule="auto"/>
        <w:ind w:firstLine="709"/>
        <w:jc w:val="both"/>
        <w:rPr>
          <w:rFonts w:cs="Times New Roman"/>
          <w:i/>
          <w:szCs w:val="28"/>
        </w:rPr>
      </w:pPr>
      <w:r w:rsidRPr="003C3F3F">
        <w:rPr>
          <w:rFonts w:cs="Times New Roman"/>
          <w:szCs w:val="28"/>
        </w:rPr>
        <w:fldChar w:fldCharType="end"/>
      </w:r>
      <w:r w:rsidR="00DC0088">
        <w:rPr>
          <w:rFonts w:cs="Times New Roman"/>
          <w:i/>
          <w:szCs w:val="28"/>
        </w:rPr>
        <w:t>Источник: расчёты авторов</w:t>
      </w:r>
    </w:p>
    <w:p w:rsidR="00FA4411" w:rsidRDefault="00FA4411" w:rsidP="00FA4411">
      <w:pPr>
        <w:spacing w:after="0" w:line="240" w:lineRule="auto"/>
        <w:ind w:firstLine="709"/>
        <w:jc w:val="both"/>
        <w:rPr>
          <w:rFonts w:cs="Times New Roman"/>
          <w:szCs w:val="28"/>
        </w:rPr>
      </w:pPr>
      <w:r w:rsidRPr="003C3F3F">
        <w:rPr>
          <w:rFonts w:cs="Times New Roman"/>
          <w:szCs w:val="28"/>
        </w:rPr>
        <w:t>Анализируя данные относительно темпов  роста индекса потребительских цен и индекса цен на медикаменты и лечебное оборудование</w:t>
      </w:r>
      <w:r w:rsidR="00E57525">
        <w:rPr>
          <w:rFonts w:cs="Times New Roman"/>
          <w:szCs w:val="28"/>
        </w:rPr>
        <w:t xml:space="preserve"> (таблица 3)</w:t>
      </w:r>
      <w:r w:rsidRPr="003C3F3F">
        <w:rPr>
          <w:rFonts w:cs="Times New Roman"/>
          <w:szCs w:val="28"/>
        </w:rPr>
        <w:t>, необходимо отметить, что медицинские товары и оборудование демонтируют большую ценовую эластичность: в 2011 году по сравнению с 2010-м годом ИПЦ сократился на 0,4%, тогда как индекс цен на медикаменты снизился на 3,5%. Начиная с 2013 года темп роста индекса цен на медикаментызначительно превышает темп роста инфляции по стране в целом и достиг максимального значения в 20015 году, увеличившись по отношению к предыдущему году на 16%, при росте ИПЦ по республике в 5,8%. Однако, в 2016-2017 продемонстрировал большее снижение по отношению к ИПЦ: в 2016 году – на 10,3%, при сокращении ИПЦ на 4,8%. В 2017 году рост ИПЦ составил 1,3% при росте цен на медикаменты в среднем на 9,2% по отношению к предыдущему году</w:t>
      </w:r>
      <w:r w:rsidR="00E57525">
        <w:rPr>
          <w:rFonts w:cs="Times New Roman"/>
          <w:szCs w:val="28"/>
        </w:rPr>
        <w:t xml:space="preserve"> (Рисунок 3)</w:t>
      </w:r>
      <w:r w:rsidRPr="003C3F3F">
        <w:rPr>
          <w:rFonts w:cs="Times New Roman"/>
          <w:szCs w:val="28"/>
        </w:rPr>
        <w:t xml:space="preserve">. </w:t>
      </w:r>
    </w:p>
    <w:p w:rsidR="00B30220" w:rsidRPr="00E57525" w:rsidRDefault="00E57525" w:rsidP="00E57525">
      <w:pPr>
        <w:pStyle w:val="af1"/>
        <w:ind w:firstLine="709"/>
        <w:jc w:val="both"/>
        <w:rPr>
          <w:rFonts w:cs="Times New Roman"/>
          <w:color w:val="auto"/>
          <w:sz w:val="28"/>
          <w:szCs w:val="28"/>
        </w:rPr>
      </w:pPr>
      <w:r w:rsidRPr="00FD449E">
        <w:rPr>
          <w:color w:val="auto"/>
          <w:sz w:val="28"/>
          <w:szCs w:val="28"/>
        </w:rPr>
        <w:t xml:space="preserve">Рисунок </w:t>
      </w:r>
      <w:r w:rsidR="00CA443F" w:rsidRPr="00FD449E">
        <w:rPr>
          <w:color w:val="auto"/>
          <w:sz w:val="28"/>
          <w:szCs w:val="28"/>
        </w:rPr>
        <w:fldChar w:fldCharType="begin"/>
      </w:r>
      <w:r w:rsidRPr="00FD449E">
        <w:rPr>
          <w:color w:val="auto"/>
          <w:sz w:val="28"/>
          <w:szCs w:val="28"/>
        </w:rPr>
        <w:instrText xml:space="preserve"> SEQ Рисунок \* ARABIC </w:instrText>
      </w:r>
      <w:r w:rsidR="00CA443F" w:rsidRPr="00FD449E">
        <w:rPr>
          <w:color w:val="auto"/>
          <w:sz w:val="28"/>
          <w:szCs w:val="28"/>
        </w:rPr>
        <w:fldChar w:fldCharType="separate"/>
      </w:r>
      <w:r w:rsidR="00F50120">
        <w:rPr>
          <w:noProof/>
          <w:color w:val="auto"/>
          <w:sz w:val="28"/>
          <w:szCs w:val="28"/>
        </w:rPr>
        <w:t>3</w:t>
      </w:r>
      <w:r w:rsidR="00CA443F" w:rsidRPr="00FD449E">
        <w:rPr>
          <w:color w:val="auto"/>
          <w:sz w:val="28"/>
          <w:szCs w:val="28"/>
        </w:rPr>
        <w:fldChar w:fldCharType="end"/>
      </w:r>
      <w:r w:rsidRPr="00FD449E">
        <w:rPr>
          <w:color w:val="auto"/>
          <w:sz w:val="28"/>
          <w:szCs w:val="28"/>
        </w:rPr>
        <w:t>- Соотношение ИПЦ и индекса цен по группе медикаментов и лечебного оборудования</w:t>
      </w:r>
    </w:p>
    <w:p w:rsidR="00FA4411" w:rsidRPr="003C3F3F" w:rsidRDefault="00FA4411" w:rsidP="00FA4411">
      <w:pPr>
        <w:spacing w:after="0" w:line="240" w:lineRule="auto"/>
        <w:ind w:firstLine="709"/>
        <w:rPr>
          <w:rFonts w:cs="Times New Roman"/>
          <w:szCs w:val="28"/>
        </w:rPr>
      </w:pPr>
      <w:r w:rsidRPr="003C3F3F">
        <w:rPr>
          <w:rFonts w:cs="Times New Roman"/>
          <w:noProof/>
          <w:szCs w:val="28"/>
          <w:lang w:eastAsia="ru-RU"/>
        </w:rPr>
        <w:drawing>
          <wp:inline distT="0" distB="0" distL="0" distR="0">
            <wp:extent cx="5741581" cy="1722475"/>
            <wp:effectExtent l="0" t="0" r="12065" b="11430"/>
            <wp:docPr id="8" name="Диаграмма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342C10" w:rsidRPr="008534FE" w:rsidRDefault="008534FE" w:rsidP="008534FE">
      <w:pPr>
        <w:spacing w:after="0" w:line="240" w:lineRule="auto"/>
        <w:ind w:firstLine="709"/>
        <w:jc w:val="both"/>
        <w:rPr>
          <w:rFonts w:cs="Times New Roman"/>
          <w:i/>
          <w:szCs w:val="28"/>
        </w:rPr>
      </w:pPr>
      <w:r w:rsidRPr="003C3F3F">
        <w:rPr>
          <w:rFonts w:cs="Times New Roman"/>
          <w:i/>
          <w:szCs w:val="28"/>
        </w:rPr>
        <w:t xml:space="preserve">Источник: </w:t>
      </w:r>
      <w:r>
        <w:rPr>
          <w:rFonts w:cs="Times New Roman"/>
          <w:i/>
          <w:szCs w:val="28"/>
        </w:rPr>
        <w:t>расчеты авторов</w:t>
      </w:r>
    </w:p>
    <w:p w:rsidR="00FA4411" w:rsidRPr="003C3F3F" w:rsidRDefault="00FA4411" w:rsidP="00FA4411">
      <w:pPr>
        <w:spacing w:after="0" w:line="240" w:lineRule="auto"/>
        <w:ind w:firstLine="709"/>
        <w:rPr>
          <w:rFonts w:cs="Times New Roman"/>
          <w:b/>
          <w:szCs w:val="28"/>
        </w:rPr>
      </w:pPr>
      <w:r w:rsidRPr="003C3F3F">
        <w:rPr>
          <w:rFonts w:cs="Times New Roman"/>
          <w:b/>
          <w:szCs w:val="28"/>
        </w:rPr>
        <w:lastRenderedPageBreak/>
        <w:t>Амбулаторные услуги</w:t>
      </w:r>
    </w:p>
    <w:p w:rsidR="00FA4411" w:rsidRPr="003C3F3F" w:rsidRDefault="00FA4411" w:rsidP="00FA4411">
      <w:pPr>
        <w:spacing w:after="0" w:line="240" w:lineRule="auto"/>
        <w:ind w:firstLine="709"/>
        <w:jc w:val="both"/>
        <w:rPr>
          <w:rFonts w:cs="Times New Roman"/>
          <w:szCs w:val="28"/>
        </w:rPr>
      </w:pPr>
      <w:r w:rsidRPr="003C3F3F">
        <w:rPr>
          <w:rFonts w:cs="Times New Roman"/>
          <w:szCs w:val="28"/>
        </w:rPr>
        <w:t xml:space="preserve">За рассматриваемый период изменение среднего уровня цен по стране на амбулаторные услуги </w:t>
      </w:r>
      <w:r w:rsidR="00DC0088">
        <w:rPr>
          <w:rFonts w:cs="Times New Roman"/>
          <w:szCs w:val="28"/>
        </w:rPr>
        <w:t xml:space="preserve">(Рисунок 4) </w:t>
      </w:r>
      <w:r w:rsidRPr="003C3F3F">
        <w:rPr>
          <w:rFonts w:cs="Times New Roman"/>
          <w:szCs w:val="28"/>
        </w:rPr>
        <w:t>значительно превосходили изменение индекса потребительских цен: исключение продемонстрировал лишь 2015 год, когда рост цен на потребительские товары в 13,6% превысил рост цен на амбулаторные услуги – 11,7%. В 2010 году амбулаторные услуги подорожали на 9,8%, в 2011 году – на 6,2%, в 2012 году – на 8,8%, в 2013 году на 12,2%, в 2014 году рост составил практически аналогичные 12,3%. Последующие 2015, 2016, 2017 годы отметились снижением относительного прироста цен до 11,7%, 10,1%, 7,9% соответственно.</w:t>
      </w:r>
    </w:p>
    <w:p w:rsidR="00FA4411" w:rsidRPr="003C3F3F" w:rsidRDefault="00FA4411" w:rsidP="00FA4411">
      <w:pPr>
        <w:spacing w:after="0" w:line="240" w:lineRule="auto"/>
        <w:ind w:firstLine="709"/>
        <w:jc w:val="both"/>
        <w:rPr>
          <w:rFonts w:cs="Times New Roman"/>
          <w:szCs w:val="28"/>
        </w:rPr>
      </w:pPr>
    </w:p>
    <w:p w:rsidR="00FA4411" w:rsidRPr="00DC0088" w:rsidRDefault="00DC0088" w:rsidP="00DC0088">
      <w:pPr>
        <w:pStyle w:val="af1"/>
        <w:ind w:firstLine="709"/>
        <w:rPr>
          <w:rFonts w:cs="Times New Roman"/>
          <w:b w:val="0"/>
          <w:color w:val="auto"/>
          <w:sz w:val="28"/>
          <w:szCs w:val="28"/>
        </w:rPr>
      </w:pPr>
      <w:r w:rsidRPr="00FD449E">
        <w:rPr>
          <w:color w:val="auto"/>
          <w:sz w:val="28"/>
          <w:szCs w:val="28"/>
        </w:rPr>
        <w:t xml:space="preserve">Рисунок </w:t>
      </w:r>
      <w:r w:rsidR="00CA443F" w:rsidRPr="00FD449E">
        <w:rPr>
          <w:color w:val="auto"/>
          <w:sz w:val="28"/>
          <w:szCs w:val="28"/>
        </w:rPr>
        <w:fldChar w:fldCharType="begin"/>
      </w:r>
      <w:r w:rsidRPr="00FD449E">
        <w:rPr>
          <w:color w:val="auto"/>
          <w:sz w:val="28"/>
          <w:szCs w:val="28"/>
        </w:rPr>
        <w:instrText xml:space="preserve"> SEQ Рисунок \* ARABIC </w:instrText>
      </w:r>
      <w:r w:rsidR="00CA443F" w:rsidRPr="00FD449E">
        <w:rPr>
          <w:color w:val="auto"/>
          <w:sz w:val="28"/>
          <w:szCs w:val="28"/>
        </w:rPr>
        <w:fldChar w:fldCharType="separate"/>
      </w:r>
      <w:r w:rsidR="00F50120">
        <w:rPr>
          <w:noProof/>
          <w:color w:val="auto"/>
          <w:sz w:val="28"/>
          <w:szCs w:val="28"/>
        </w:rPr>
        <w:t>4</w:t>
      </w:r>
      <w:r w:rsidR="00CA443F" w:rsidRPr="00FD449E">
        <w:rPr>
          <w:color w:val="auto"/>
          <w:sz w:val="28"/>
          <w:szCs w:val="28"/>
        </w:rPr>
        <w:fldChar w:fldCharType="end"/>
      </w:r>
      <w:r w:rsidRPr="00FD449E">
        <w:rPr>
          <w:rFonts w:cs="Times New Roman"/>
          <w:color w:val="auto"/>
          <w:sz w:val="28"/>
          <w:szCs w:val="28"/>
        </w:rPr>
        <w:t xml:space="preserve"> – Соотношение динамики индекса цен амбулаторных услуг и ИПЦ</w:t>
      </w:r>
    </w:p>
    <w:p w:rsidR="00FA4411" w:rsidRPr="003C3F3F" w:rsidRDefault="00FA4411" w:rsidP="00FA4411">
      <w:pPr>
        <w:spacing w:after="0" w:line="240" w:lineRule="auto"/>
        <w:ind w:firstLine="709"/>
        <w:jc w:val="center"/>
        <w:rPr>
          <w:rFonts w:cs="Times New Roman"/>
          <w:szCs w:val="28"/>
        </w:rPr>
      </w:pPr>
    </w:p>
    <w:p w:rsidR="00FA4411" w:rsidRPr="003C3F3F" w:rsidRDefault="00FA4411" w:rsidP="00FA4411">
      <w:pPr>
        <w:spacing w:after="0" w:line="240" w:lineRule="auto"/>
        <w:ind w:firstLine="709"/>
        <w:jc w:val="center"/>
        <w:rPr>
          <w:rFonts w:cs="Times New Roman"/>
          <w:szCs w:val="28"/>
        </w:rPr>
      </w:pPr>
      <w:r w:rsidRPr="003C3F3F">
        <w:rPr>
          <w:rFonts w:cs="Times New Roman"/>
          <w:noProof/>
          <w:szCs w:val="28"/>
          <w:lang w:eastAsia="ru-RU"/>
        </w:rPr>
        <w:drawing>
          <wp:inline distT="0" distB="0" distL="0" distR="0">
            <wp:extent cx="5326911" cy="3444949"/>
            <wp:effectExtent l="0" t="0" r="26670" b="22225"/>
            <wp:docPr id="9" name="Диаграмма 9"/>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342C10" w:rsidRPr="008534FE" w:rsidRDefault="008534FE" w:rsidP="008534FE">
      <w:pPr>
        <w:spacing w:after="0" w:line="240" w:lineRule="auto"/>
        <w:ind w:firstLine="709"/>
        <w:jc w:val="both"/>
        <w:rPr>
          <w:rFonts w:cs="Times New Roman"/>
          <w:i/>
          <w:szCs w:val="28"/>
        </w:rPr>
      </w:pPr>
      <w:r w:rsidRPr="003C3F3F">
        <w:rPr>
          <w:rFonts w:cs="Times New Roman"/>
          <w:i/>
          <w:szCs w:val="28"/>
        </w:rPr>
        <w:t xml:space="preserve">Источник: </w:t>
      </w:r>
      <w:r>
        <w:rPr>
          <w:rFonts w:cs="Times New Roman"/>
          <w:i/>
          <w:szCs w:val="28"/>
        </w:rPr>
        <w:t>расчеты авторов</w:t>
      </w:r>
    </w:p>
    <w:p w:rsidR="00FA4411" w:rsidRPr="003C3F3F" w:rsidRDefault="00FA4411" w:rsidP="00FA4411">
      <w:pPr>
        <w:spacing w:after="0" w:line="240" w:lineRule="auto"/>
        <w:ind w:firstLine="709"/>
        <w:jc w:val="both"/>
        <w:rPr>
          <w:rFonts w:cs="Times New Roman"/>
          <w:b/>
          <w:szCs w:val="28"/>
        </w:rPr>
      </w:pPr>
      <w:r w:rsidRPr="003C3F3F">
        <w:rPr>
          <w:rFonts w:cs="Times New Roman"/>
          <w:b/>
          <w:szCs w:val="28"/>
        </w:rPr>
        <w:t>Медицинские услуги</w:t>
      </w:r>
    </w:p>
    <w:p w:rsidR="00FA4411" w:rsidRPr="003C3F3F" w:rsidRDefault="00FA4411" w:rsidP="00FA4411">
      <w:pPr>
        <w:spacing w:after="0" w:line="240" w:lineRule="auto"/>
        <w:ind w:firstLine="709"/>
        <w:jc w:val="both"/>
        <w:rPr>
          <w:rFonts w:cs="Times New Roman"/>
          <w:szCs w:val="28"/>
        </w:rPr>
      </w:pPr>
      <w:r w:rsidRPr="003C3F3F">
        <w:rPr>
          <w:rFonts w:cs="Times New Roman"/>
          <w:szCs w:val="28"/>
        </w:rPr>
        <w:t>Неоднозначная динамика цен наблюдалась в течен6ие анализируемого периода на медицинские услуги</w:t>
      </w:r>
      <w:r w:rsidR="00C40033">
        <w:rPr>
          <w:rFonts w:cs="Times New Roman"/>
          <w:szCs w:val="28"/>
        </w:rPr>
        <w:t xml:space="preserve"> (Рисунок 5)</w:t>
      </w:r>
      <w:r w:rsidRPr="003C3F3F">
        <w:rPr>
          <w:rFonts w:cs="Times New Roman"/>
          <w:szCs w:val="28"/>
        </w:rPr>
        <w:t>: в 2010 году при ИПЦ в 7,8%, данный тип услуг подорожал на 9,2%, в 2011 году на 5,6%, продемонстрировав, таким образом, наименьшую величину роста цен, а также установившись ниже, чем рост уровня цен по стране. Серьезное превышение над общим уровнем цен начинается с 2012 года – 9,5%, в 2013 году- 18,9, 2014 год с наибольшим значением равным 19,5%. С 2015 года начинается снижение темпа роста уровня цен на медицинские услуги с 15,6% до 7,5% в 2017 году, что практически равно росту общего уровня цен по республике.</w:t>
      </w:r>
    </w:p>
    <w:p w:rsidR="00C40033" w:rsidRPr="00FD449E" w:rsidRDefault="00C40033" w:rsidP="00C40033">
      <w:pPr>
        <w:pStyle w:val="af1"/>
        <w:ind w:firstLine="709"/>
        <w:jc w:val="both"/>
        <w:rPr>
          <w:color w:val="auto"/>
          <w:sz w:val="28"/>
          <w:szCs w:val="28"/>
        </w:rPr>
      </w:pPr>
      <w:r w:rsidRPr="00FD449E">
        <w:rPr>
          <w:color w:val="auto"/>
          <w:sz w:val="28"/>
          <w:szCs w:val="28"/>
        </w:rPr>
        <w:lastRenderedPageBreak/>
        <w:t xml:space="preserve">Рисунок </w:t>
      </w:r>
      <w:r w:rsidR="00CA443F" w:rsidRPr="00FD449E">
        <w:rPr>
          <w:color w:val="auto"/>
          <w:sz w:val="28"/>
          <w:szCs w:val="28"/>
        </w:rPr>
        <w:fldChar w:fldCharType="begin"/>
      </w:r>
      <w:r w:rsidRPr="00FD449E">
        <w:rPr>
          <w:color w:val="auto"/>
          <w:sz w:val="28"/>
          <w:szCs w:val="28"/>
        </w:rPr>
        <w:instrText xml:space="preserve"> SEQ Рисунок \* ARABIC </w:instrText>
      </w:r>
      <w:r w:rsidR="00CA443F" w:rsidRPr="00FD449E">
        <w:rPr>
          <w:color w:val="auto"/>
          <w:sz w:val="28"/>
          <w:szCs w:val="28"/>
        </w:rPr>
        <w:fldChar w:fldCharType="separate"/>
      </w:r>
      <w:r w:rsidR="00F50120">
        <w:rPr>
          <w:noProof/>
          <w:color w:val="auto"/>
          <w:sz w:val="28"/>
          <w:szCs w:val="28"/>
        </w:rPr>
        <w:t>5</w:t>
      </w:r>
      <w:r w:rsidR="00CA443F" w:rsidRPr="00FD449E">
        <w:rPr>
          <w:color w:val="auto"/>
          <w:sz w:val="28"/>
          <w:szCs w:val="28"/>
        </w:rPr>
        <w:fldChar w:fldCharType="end"/>
      </w:r>
      <w:r w:rsidRPr="00FD449E">
        <w:rPr>
          <w:rFonts w:cs="Times New Roman"/>
          <w:color w:val="auto"/>
          <w:sz w:val="28"/>
          <w:szCs w:val="28"/>
        </w:rPr>
        <w:t>- Соотношение динамики индекса цен медицинских услуг и ИПЦ</w:t>
      </w:r>
    </w:p>
    <w:p w:rsidR="00FA4411" w:rsidRPr="003C3F3F" w:rsidRDefault="00FA4411" w:rsidP="00FA4411">
      <w:pPr>
        <w:spacing w:after="0" w:line="240" w:lineRule="auto"/>
        <w:ind w:firstLine="709"/>
        <w:jc w:val="center"/>
        <w:rPr>
          <w:rFonts w:cs="Times New Roman"/>
          <w:szCs w:val="28"/>
        </w:rPr>
      </w:pPr>
      <w:r w:rsidRPr="003C3F3F">
        <w:rPr>
          <w:rFonts w:cs="Times New Roman"/>
          <w:noProof/>
          <w:szCs w:val="28"/>
          <w:lang w:eastAsia="ru-RU"/>
        </w:rPr>
        <w:drawing>
          <wp:inline distT="0" distB="0" distL="0" distR="0">
            <wp:extent cx="5092996" cy="2456121"/>
            <wp:effectExtent l="0" t="0" r="12700" b="20955"/>
            <wp:docPr id="10" name="Диаграмма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rsidR="008534FE" w:rsidRPr="008534FE" w:rsidRDefault="008534FE" w:rsidP="008534FE">
      <w:pPr>
        <w:spacing w:after="0" w:line="240" w:lineRule="auto"/>
        <w:ind w:firstLine="709"/>
        <w:jc w:val="both"/>
        <w:rPr>
          <w:rFonts w:cs="Times New Roman"/>
          <w:i/>
          <w:szCs w:val="28"/>
        </w:rPr>
      </w:pPr>
      <w:r w:rsidRPr="003C3F3F">
        <w:rPr>
          <w:rFonts w:cs="Times New Roman"/>
          <w:i/>
          <w:szCs w:val="28"/>
        </w:rPr>
        <w:t xml:space="preserve">Источник: </w:t>
      </w:r>
      <w:r>
        <w:rPr>
          <w:rFonts w:cs="Times New Roman"/>
          <w:i/>
          <w:szCs w:val="28"/>
        </w:rPr>
        <w:t>расчеты авторов</w:t>
      </w:r>
    </w:p>
    <w:p w:rsidR="00FA4411" w:rsidRPr="003C3F3F" w:rsidRDefault="00FA4411" w:rsidP="00FA4411">
      <w:pPr>
        <w:spacing w:after="0" w:line="240" w:lineRule="auto"/>
        <w:ind w:firstLine="709"/>
        <w:jc w:val="both"/>
        <w:rPr>
          <w:rFonts w:cs="Times New Roman"/>
          <w:szCs w:val="28"/>
        </w:rPr>
      </w:pPr>
    </w:p>
    <w:p w:rsidR="00C40033" w:rsidRDefault="00FA4411" w:rsidP="00FA4411">
      <w:pPr>
        <w:spacing w:after="0" w:line="240" w:lineRule="auto"/>
        <w:ind w:firstLine="709"/>
        <w:jc w:val="both"/>
        <w:rPr>
          <w:rFonts w:cs="Times New Roman"/>
          <w:szCs w:val="28"/>
        </w:rPr>
      </w:pPr>
      <w:r w:rsidRPr="003C3F3F">
        <w:rPr>
          <w:rFonts w:cs="Times New Roman"/>
          <w:b/>
          <w:szCs w:val="28"/>
        </w:rPr>
        <w:t>Стоматологические услуги</w:t>
      </w:r>
    </w:p>
    <w:p w:rsidR="00C40033" w:rsidRPr="00C40033" w:rsidRDefault="00C40033" w:rsidP="00C40033">
      <w:pPr>
        <w:spacing w:after="0" w:line="240" w:lineRule="auto"/>
        <w:ind w:firstLine="709"/>
        <w:jc w:val="both"/>
        <w:rPr>
          <w:rFonts w:cs="Times New Roman"/>
          <w:szCs w:val="28"/>
        </w:rPr>
      </w:pPr>
      <w:r w:rsidRPr="003C3F3F">
        <w:rPr>
          <w:rFonts w:cs="Times New Roman"/>
          <w:szCs w:val="28"/>
        </w:rPr>
        <w:t>На протяжении рассматриваемого периода динамика цен на стоматологические услуги имела незначительное расхождение с динамикой общего уровня цен</w:t>
      </w:r>
      <w:r>
        <w:rPr>
          <w:rFonts w:cs="Times New Roman"/>
          <w:szCs w:val="28"/>
        </w:rPr>
        <w:t xml:space="preserve"> (Рисунок 6)</w:t>
      </w:r>
      <w:r w:rsidRPr="003C3F3F">
        <w:rPr>
          <w:rFonts w:cs="Times New Roman"/>
          <w:szCs w:val="28"/>
        </w:rPr>
        <w:t>. Исключение составили 2012 год - стоматологические услуги выросли на 10,6% при росте общего уровня цен 6%; 2013 год – рост цен на стоматологию составил 8,4%, 2014 год – 11,3%.</w:t>
      </w:r>
    </w:p>
    <w:p w:rsidR="00C40033" w:rsidRDefault="00C40033" w:rsidP="00C40033">
      <w:pPr>
        <w:pStyle w:val="af1"/>
        <w:ind w:firstLine="709"/>
        <w:jc w:val="both"/>
        <w:rPr>
          <w:color w:val="auto"/>
          <w:sz w:val="28"/>
          <w:szCs w:val="28"/>
        </w:rPr>
      </w:pPr>
    </w:p>
    <w:p w:rsidR="00C40033" w:rsidRPr="00FD449E" w:rsidRDefault="00C40033" w:rsidP="00C40033">
      <w:pPr>
        <w:pStyle w:val="af1"/>
        <w:ind w:firstLine="709"/>
        <w:jc w:val="both"/>
        <w:rPr>
          <w:rFonts w:cs="Times New Roman"/>
          <w:b w:val="0"/>
          <w:color w:val="auto"/>
          <w:sz w:val="28"/>
          <w:szCs w:val="28"/>
        </w:rPr>
      </w:pPr>
      <w:r w:rsidRPr="00FD449E">
        <w:rPr>
          <w:color w:val="auto"/>
          <w:sz w:val="28"/>
          <w:szCs w:val="28"/>
        </w:rPr>
        <w:t xml:space="preserve">Рисунок </w:t>
      </w:r>
      <w:r w:rsidR="00CA443F" w:rsidRPr="00FD449E">
        <w:rPr>
          <w:color w:val="auto"/>
          <w:sz w:val="28"/>
          <w:szCs w:val="28"/>
        </w:rPr>
        <w:fldChar w:fldCharType="begin"/>
      </w:r>
      <w:r w:rsidRPr="00FD449E">
        <w:rPr>
          <w:color w:val="auto"/>
          <w:sz w:val="28"/>
          <w:szCs w:val="28"/>
        </w:rPr>
        <w:instrText xml:space="preserve"> SEQ Рисунок \* ARABIC </w:instrText>
      </w:r>
      <w:r w:rsidR="00CA443F" w:rsidRPr="00FD449E">
        <w:rPr>
          <w:color w:val="auto"/>
          <w:sz w:val="28"/>
          <w:szCs w:val="28"/>
        </w:rPr>
        <w:fldChar w:fldCharType="separate"/>
      </w:r>
      <w:r w:rsidR="00F50120">
        <w:rPr>
          <w:noProof/>
          <w:color w:val="auto"/>
          <w:sz w:val="28"/>
          <w:szCs w:val="28"/>
        </w:rPr>
        <w:t>6</w:t>
      </w:r>
      <w:r w:rsidR="00CA443F" w:rsidRPr="00FD449E">
        <w:rPr>
          <w:color w:val="auto"/>
          <w:sz w:val="28"/>
          <w:szCs w:val="28"/>
        </w:rPr>
        <w:fldChar w:fldCharType="end"/>
      </w:r>
      <w:r w:rsidRPr="00FD449E">
        <w:rPr>
          <w:rFonts w:cs="Times New Roman"/>
          <w:color w:val="auto"/>
          <w:sz w:val="28"/>
          <w:szCs w:val="28"/>
        </w:rPr>
        <w:t>- Соотношение динамики индекса цен стоматологических услуг и ИПЦ</w:t>
      </w:r>
    </w:p>
    <w:p w:rsidR="00FA4411" w:rsidRPr="003C3F3F" w:rsidRDefault="00FA4411" w:rsidP="00FA4411">
      <w:pPr>
        <w:spacing w:after="0" w:line="240" w:lineRule="auto"/>
        <w:ind w:firstLine="709"/>
        <w:jc w:val="center"/>
        <w:rPr>
          <w:rFonts w:cs="Times New Roman"/>
          <w:szCs w:val="28"/>
        </w:rPr>
      </w:pPr>
      <w:r w:rsidRPr="003C3F3F">
        <w:rPr>
          <w:rFonts w:cs="Times New Roman"/>
          <w:noProof/>
          <w:szCs w:val="28"/>
          <w:lang w:eastAsia="ru-RU"/>
        </w:rPr>
        <w:drawing>
          <wp:inline distT="0" distB="0" distL="0" distR="0">
            <wp:extent cx="5209953" cy="2945218"/>
            <wp:effectExtent l="0" t="0" r="10160" b="26670"/>
            <wp:docPr id="11" name="Диаграмма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rsidR="00342C10" w:rsidRPr="008534FE" w:rsidRDefault="008534FE" w:rsidP="008534FE">
      <w:pPr>
        <w:spacing w:after="0" w:line="240" w:lineRule="auto"/>
        <w:ind w:firstLine="709"/>
        <w:jc w:val="both"/>
        <w:rPr>
          <w:rFonts w:cs="Times New Roman"/>
          <w:i/>
          <w:szCs w:val="28"/>
        </w:rPr>
      </w:pPr>
      <w:r w:rsidRPr="003C3F3F">
        <w:rPr>
          <w:rFonts w:cs="Times New Roman"/>
          <w:i/>
          <w:szCs w:val="28"/>
        </w:rPr>
        <w:t xml:space="preserve">Источник: </w:t>
      </w:r>
      <w:r>
        <w:rPr>
          <w:rFonts w:cs="Times New Roman"/>
          <w:i/>
          <w:szCs w:val="28"/>
        </w:rPr>
        <w:t>расчеты авторов</w:t>
      </w:r>
    </w:p>
    <w:p w:rsidR="00342C10" w:rsidRDefault="00342C10" w:rsidP="00FA4411">
      <w:pPr>
        <w:spacing w:after="0" w:line="240" w:lineRule="auto"/>
        <w:ind w:firstLine="709"/>
        <w:jc w:val="both"/>
        <w:rPr>
          <w:rFonts w:cs="Times New Roman"/>
          <w:szCs w:val="28"/>
        </w:rPr>
      </w:pPr>
    </w:p>
    <w:p w:rsidR="00FA4411" w:rsidRPr="003C3F3F" w:rsidRDefault="00FA4411" w:rsidP="00FA4411">
      <w:pPr>
        <w:spacing w:after="0" w:line="240" w:lineRule="auto"/>
        <w:ind w:firstLine="709"/>
        <w:jc w:val="both"/>
        <w:rPr>
          <w:rFonts w:cs="Times New Roman"/>
          <w:szCs w:val="28"/>
        </w:rPr>
      </w:pPr>
      <w:r w:rsidRPr="003C3F3F">
        <w:rPr>
          <w:rFonts w:cs="Times New Roman"/>
          <w:szCs w:val="28"/>
        </w:rPr>
        <w:lastRenderedPageBreak/>
        <w:t>Следует отметить, что после введения плавающего валютного курса и серьезного роста уровня цен на 13,6% в 2015 году стоматологические услуги не продемонстрировали значительного отклонения от общего уровня цен, что свидетельствует о реализации эффекта отложенного спроса.</w:t>
      </w:r>
    </w:p>
    <w:p w:rsidR="00C40033" w:rsidRDefault="00C40033" w:rsidP="00FA4411">
      <w:pPr>
        <w:spacing w:after="0" w:line="240" w:lineRule="auto"/>
        <w:ind w:firstLine="709"/>
        <w:jc w:val="both"/>
        <w:rPr>
          <w:rFonts w:cs="Times New Roman"/>
          <w:b/>
          <w:szCs w:val="28"/>
        </w:rPr>
      </w:pPr>
    </w:p>
    <w:p w:rsidR="00FA4411" w:rsidRPr="003C3F3F" w:rsidRDefault="00FA4411" w:rsidP="00FA4411">
      <w:pPr>
        <w:spacing w:after="0" w:line="240" w:lineRule="auto"/>
        <w:ind w:firstLine="709"/>
        <w:jc w:val="both"/>
        <w:rPr>
          <w:rFonts w:cs="Times New Roman"/>
          <w:b/>
          <w:szCs w:val="28"/>
        </w:rPr>
      </w:pPr>
      <w:r w:rsidRPr="003C3F3F">
        <w:rPr>
          <w:rFonts w:cs="Times New Roman"/>
          <w:b/>
          <w:szCs w:val="28"/>
        </w:rPr>
        <w:t>Парамедицинские услуги</w:t>
      </w:r>
    </w:p>
    <w:p w:rsidR="00FA4411" w:rsidRPr="003C3F3F" w:rsidRDefault="00FA4411" w:rsidP="00FA4411">
      <w:pPr>
        <w:spacing w:after="0" w:line="240" w:lineRule="auto"/>
        <w:ind w:firstLine="709"/>
        <w:jc w:val="both"/>
        <w:rPr>
          <w:rFonts w:cs="Times New Roman"/>
          <w:szCs w:val="28"/>
        </w:rPr>
      </w:pPr>
      <w:r w:rsidRPr="003C3F3F">
        <w:rPr>
          <w:rFonts w:cs="Times New Roman"/>
          <w:szCs w:val="28"/>
        </w:rPr>
        <w:t>В категорию парамедицинских услуг, согласно методике расчета ИПЦ, используемой КС МНЭ, входят следующие категории услуг:</w:t>
      </w:r>
    </w:p>
    <w:p w:rsidR="00FA4411" w:rsidRPr="003C3F3F" w:rsidRDefault="00FA4411" w:rsidP="00FA4411">
      <w:pPr>
        <w:spacing w:after="0" w:line="240" w:lineRule="auto"/>
        <w:ind w:firstLine="709"/>
        <w:jc w:val="both"/>
        <w:rPr>
          <w:rFonts w:cs="Times New Roman"/>
          <w:szCs w:val="28"/>
        </w:rPr>
      </w:pPr>
      <w:r w:rsidRPr="003C3F3F">
        <w:rPr>
          <w:rFonts w:cs="Times New Roman"/>
          <w:szCs w:val="28"/>
        </w:rPr>
        <w:t>- услуги медицинских лабораторий;</w:t>
      </w:r>
    </w:p>
    <w:p w:rsidR="00FA4411" w:rsidRPr="003C3F3F" w:rsidRDefault="00FA4411" w:rsidP="00FA4411">
      <w:pPr>
        <w:spacing w:after="0" w:line="240" w:lineRule="auto"/>
        <w:ind w:firstLine="709"/>
        <w:jc w:val="both"/>
        <w:rPr>
          <w:rFonts w:cs="Times New Roman"/>
          <w:szCs w:val="28"/>
        </w:rPr>
      </w:pPr>
      <w:r w:rsidRPr="003C3F3F">
        <w:rPr>
          <w:rFonts w:cs="Times New Roman"/>
          <w:szCs w:val="28"/>
        </w:rPr>
        <w:t>- УЗИ брюшной полости;</w:t>
      </w:r>
    </w:p>
    <w:p w:rsidR="00FA4411" w:rsidRPr="003C3F3F" w:rsidRDefault="00FA4411" w:rsidP="00FA4411">
      <w:pPr>
        <w:spacing w:after="0" w:line="240" w:lineRule="auto"/>
        <w:ind w:firstLine="709"/>
        <w:jc w:val="both"/>
        <w:rPr>
          <w:rFonts w:cs="Times New Roman"/>
          <w:szCs w:val="28"/>
        </w:rPr>
      </w:pPr>
      <w:r w:rsidRPr="003C3F3F">
        <w:rPr>
          <w:rFonts w:cs="Times New Roman"/>
          <w:szCs w:val="28"/>
        </w:rPr>
        <w:t>- общий анализ крови;</w:t>
      </w:r>
    </w:p>
    <w:p w:rsidR="00FA4411" w:rsidRPr="003C3F3F" w:rsidRDefault="00FA4411" w:rsidP="00FA4411">
      <w:pPr>
        <w:spacing w:after="0" w:line="240" w:lineRule="auto"/>
        <w:ind w:firstLine="709"/>
        <w:jc w:val="both"/>
        <w:rPr>
          <w:rFonts w:cs="Times New Roman"/>
          <w:szCs w:val="28"/>
        </w:rPr>
      </w:pPr>
      <w:r w:rsidRPr="003C3F3F">
        <w:rPr>
          <w:rFonts w:cs="Times New Roman"/>
          <w:szCs w:val="28"/>
        </w:rPr>
        <w:t>- общий анализ мочи;</w:t>
      </w:r>
    </w:p>
    <w:p w:rsidR="00FA4411" w:rsidRPr="003C3F3F" w:rsidRDefault="00FA4411" w:rsidP="00FA4411">
      <w:pPr>
        <w:spacing w:after="0" w:line="240" w:lineRule="auto"/>
        <w:ind w:firstLine="709"/>
        <w:jc w:val="both"/>
        <w:rPr>
          <w:rFonts w:cs="Times New Roman"/>
          <w:szCs w:val="28"/>
        </w:rPr>
      </w:pPr>
      <w:r w:rsidRPr="003C3F3F">
        <w:rPr>
          <w:rFonts w:cs="Times New Roman"/>
          <w:szCs w:val="28"/>
        </w:rPr>
        <w:t>- радиологические исследования;</w:t>
      </w:r>
    </w:p>
    <w:p w:rsidR="00FA4411" w:rsidRPr="003C3F3F" w:rsidRDefault="00FA4411" w:rsidP="00FA4411">
      <w:pPr>
        <w:spacing w:after="0" w:line="240" w:lineRule="auto"/>
        <w:ind w:firstLine="709"/>
        <w:jc w:val="both"/>
        <w:rPr>
          <w:rFonts w:cs="Times New Roman"/>
          <w:szCs w:val="28"/>
        </w:rPr>
      </w:pPr>
      <w:r w:rsidRPr="003C3F3F">
        <w:rPr>
          <w:rFonts w:cs="Times New Roman"/>
          <w:szCs w:val="28"/>
        </w:rPr>
        <w:t>- услуги медицинских сестер и акушерок;</w:t>
      </w:r>
    </w:p>
    <w:p w:rsidR="00FA4411" w:rsidRPr="003C3F3F" w:rsidRDefault="00FA4411" w:rsidP="00FA4411">
      <w:pPr>
        <w:spacing w:after="0" w:line="240" w:lineRule="auto"/>
        <w:ind w:firstLine="709"/>
        <w:jc w:val="both"/>
        <w:rPr>
          <w:rFonts w:cs="Times New Roman"/>
          <w:szCs w:val="28"/>
        </w:rPr>
      </w:pPr>
      <w:r w:rsidRPr="003C3F3F">
        <w:rPr>
          <w:rFonts w:cs="Times New Roman"/>
          <w:szCs w:val="28"/>
        </w:rPr>
        <w:t>- услуги вспомогательного медицинского персонала;</w:t>
      </w:r>
    </w:p>
    <w:p w:rsidR="00FA4411" w:rsidRPr="003C3F3F" w:rsidRDefault="00FA4411" w:rsidP="00FA4411">
      <w:pPr>
        <w:spacing w:after="0" w:line="240" w:lineRule="auto"/>
        <w:ind w:firstLine="709"/>
        <w:jc w:val="both"/>
        <w:rPr>
          <w:rFonts w:cs="Times New Roman"/>
          <w:szCs w:val="28"/>
        </w:rPr>
      </w:pPr>
      <w:r w:rsidRPr="003C3F3F">
        <w:rPr>
          <w:rFonts w:cs="Times New Roman"/>
          <w:szCs w:val="28"/>
        </w:rPr>
        <w:t>- общий массаж.</w:t>
      </w:r>
    </w:p>
    <w:p w:rsidR="00885776" w:rsidRPr="003C3F3F" w:rsidRDefault="00FA4411" w:rsidP="00885776">
      <w:pPr>
        <w:spacing w:after="0" w:line="240" w:lineRule="auto"/>
        <w:ind w:firstLine="709"/>
        <w:jc w:val="both"/>
        <w:rPr>
          <w:rFonts w:cs="Times New Roman"/>
          <w:szCs w:val="28"/>
        </w:rPr>
      </w:pPr>
      <w:r w:rsidRPr="003C3F3F">
        <w:rPr>
          <w:rFonts w:cs="Times New Roman"/>
          <w:szCs w:val="28"/>
        </w:rPr>
        <w:t>Рост цен на парамедицинские услуги в 2010 году был обеспечен в основном за счет значительного удорожания услуг медицинских лабораторий, радиологических исследований, а также услуг по общему анализу крови и мочи</w:t>
      </w:r>
      <w:r w:rsidR="00C40033">
        <w:rPr>
          <w:rFonts w:cs="Times New Roman"/>
          <w:szCs w:val="28"/>
        </w:rPr>
        <w:t xml:space="preserve"> (Рисунок 7)</w:t>
      </w:r>
      <w:r w:rsidRPr="003C3F3F">
        <w:rPr>
          <w:rFonts w:cs="Times New Roman"/>
          <w:szCs w:val="28"/>
        </w:rPr>
        <w:t>. По данным категориям услуг рост цен составил в среднем 12% . С 2012 по 2017 год категории услуг, входящих в данную группу не демонстрировали значительной разницы относительно среднего уровня цен по группе, а также незначительно превысили рост среднего уровня цен по стране. Исключение наблюдалось в 2015 году, когда индекс потребительских цен возрос на 13,6% в виду реализации валютного фактора, в то время, как рост цен на парамедицинские услуги был ниже- 9,7%. В данном случае снова наблюдается эффект отложенного спроса.</w:t>
      </w:r>
    </w:p>
    <w:p w:rsidR="00C40033" w:rsidRPr="00FD449E" w:rsidRDefault="00C40033" w:rsidP="00C40033">
      <w:pPr>
        <w:pStyle w:val="af1"/>
        <w:ind w:firstLine="709"/>
        <w:rPr>
          <w:rFonts w:cs="Times New Roman"/>
          <w:b w:val="0"/>
          <w:color w:val="auto"/>
          <w:sz w:val="28"/>
          <w:szCs w:val="28"/>
        </w:rPr>
      </w:pPr>
      <w:r w:rsidRPr="00FD449E">
        <w:rPr>
          <w:color w:val="auto"/>
          <w:sz w:val="28"/>
          <w:szCs w:val="28"/>
        </w:rPr>
        <w:t xml:space="preserve">Рисунок </w:t>
      </w:r>
      <w:r w:rsidR="00CA443F" w:rsidRPr="00FD449E">
        <w:rPr>
          <w:color w:val="auto"/>
          <w:sz w:val="28"/>
          <w:szCs w:val="28"/>
        </w:rPr>
        <w:fldChar w:fldCharType="begin"/>
      </w:r>
      <w:r w:rsidRPr="00FD449E">
        <w:rPr>
          <w:color w:val="auto"/>
          <w:sz w:val="28"/>
          <w:szCs w:val="28"/>
        </w:rPr>
        <w:instrText xml:space="preserve"> SEQ Рисунок \* ARABIC </w:instrText>
      </w:r>
      <w:r w:rsidR="00CA443F" w:rsidRPr="00FD449E">
        <w:rPr>
          <w:color w:val="auto"/>
          <w:sz w:val="28"/>
          <w:szCs w:val="28"/>
        </w:rPr>
        <w:fldChar w:fldCharType="separate"/>
      </w:r>
      <w:r w:rsidR="00F50120">
        <w:rPr>
          <w:noProof/>
          <w:color w:val="auto"/>
          <w:sz w:val="28"/>
          <w:szCs w:val="28"/>
        </w:rPr>
        <w:t>7</w:t>
      </w:r>
      <w:r w:rsidR="00CA443F" w:rsidRPr="00FD449E">
        <w:rPr>
          <w:color w:val="auto"/>
          <w:sz w:val="28"/>
          <w:szCs w:val="28"/>
        </w:rPr>
        <w:fldChar w:fldCharType="end"/>
      </w:r>
      <w:r w:rsidRPr="00FD449E">
        <w:rPr>
          <w:rFonts w:cs="Times New Roman"/>
          <w:color w:val="auto"/>
          <w:sz w:val="28"/>
          <w:szCs w:val="28"/>
        </w:rPr>
        <w:t>- Соотношение динамики индекса цен парамедицинских услуг и ИПЦ</w:t>
      </w:r>
    </w:p>
    <w:p w:rsidR="00FA4411" w:rsidRPr="003C3F3F" w:rsidRDefault="00FA4411" w:rsidP="00FA4411">
      <w:pPr>
        <w:spacing w:after="0" w:line="240" w:lineRule="auto"/>
        <w:ind w:firstLine="709"/>
        <w:jc w:val="center"/>
        <w:rPr>
          <w:rFonts w:cs="Times New Roman"/>
          <w:szCs w:val="28"/>
        </w:rPr>
      </w:pPr>
      <w:r w:rsidRPr="003C3F3F">
        <w:rPr>
          <w:rFonts w:cs="Times New Roman"/>
          <w:noProof/>
          <w:szCs w:val="28"/>
          <w:lang w:eastAsia="ru-RU"/>
        </w:rPr>
        <w:drawing>
          <wp:inline distT="0" distB="0" distL="0" distR="0">
            <wp:extent cx="4509637" cy="2686684"/>
            <wp:effectExtent l="0" t="0" r="24765" b="19050"/>
            <wp:docPr id="12" name="Диаграмма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rsidR="008534FE" w:rsidRPr="008534FE" w:rsidRDefault="008534FE" w:rsidP="008534FE">
      <w:pPr>
        <w:spacing w:after="0" w:line="240" w:lineRule="auto"/>
        <w:ind w:firstLine="709"/>
        <w:jc w:val="both"/>
        <w:rPr>
          <w:rFonts w:cs="Times New Roman"/>
          <w:i/>
          <w:szCs w:val="28"/>
        </w:rPr>
      </w:pPr>
      <w:r w:rsidRPr="003C3F3F">
        <w:rPr>
          <w:rFonts w:cs="Times New Roman"/>
          <w:i/>
          <w:szCs w:val="28"/>
        </w:rPr>
        <w:t xml:space="preserve">Источник: </w:t>
      </w:r>
      <w:r>
        <w:rPr>
          <w:rFonts w:cs="Times New Roman"/>
          <w:i/>
          <w:szCs w:val="28"/>
        </w:rPr>
        <w:t>расчеты авторов</w:t>
      </w:r>
    </w:p>
    <w:p w:rsidR="00BE425B" w:rsidRDefault="00FA4411" w:rsidP="00BE425B">
      <w:pPr>
        <w:spacing w:after="0" w:line="240" w:lineRule="auto"/>
        <w:ind w:firstLine="709"/>
        <w:jc w:val="both"/>
        <w:rPr>
          <w:rFonts w:cs="Times New Roman"/>
          <w:szCs w:val="28"/>
        </w:rPr>
      </w:pPr>
      <w:r w:rsidRPr="003C3F3F">
        <w:rPr>
          <w:rFonts w:cs="Times New Roman"/>
          <w:b/>
          <w:szCs w:val="28"/>
        </w:rPr>
        <w:lastRenderedPageBreak/>
        <w:t>Накопленная инфляция</w:t>
      </w:r>
    </w:p>
    <w:p w:rsidR="00FA4411" w:rsidRPr="00BE425B" w:rsidRDefault="00BE425B" w:rsidP="00BE425B">
      <w:pPr>
        <w:spacing w:after="0" w:line="240" w:lineRule="auto"/>
        <w:ind w:firstLine="709"/>
        <w:jc w:val="both"/>
        <w:rPr>
          <w:rFonts w:cs="Times New Roman"/>
          <w:szCs w:val="28"/>
        </w:rPr>
      </w:pPr>
      <w:r w:rsidRPr="003C3F3F">
        <w:rPr>
          <w:rFonts w:cs="Times New Roman"/>
          <w:szCs w:val="28"/>
        </w:rPr>
        <w:t>Накопленная инфляция по Республике Казахстан с 2010 по 2017 год составила 69,2%. Расчеты авторов показали, что ниже уровня накопленной инфляции за рассматриваемый период возросли только цены на прочую продукцию, куда относятся шприцы, бинты и вата</w:t>
      </w:r>
      <w:r>
        <w:rPr>
          <w:rFonts w:cs="Times New Roman"/>
          <w:szCs w:val="28"/>
        </w:rPr>
        <w:t xml:space="preserve"> (Рисунок 8)</w:t>
      </w:r>
      <w:r w:rsidRPr="003C3F3F">
        <w:rPr>
          <w:rFonts w:cs="Times New Roman"/>
          <w:szCs w:val="28"/>
        </w:rPr>
        <w:t xml:space="preserve">. Наибольший рост цен наблюдался в секторе медицинских услуг – на 129,7% (в 2,3 раза по отношению к 2010 году), причем следует отметить, что рост цен был обеспечен именно ростом цен по услугам оказания первичной медицинской помощи. В 2010-2011 годах первичный прием у врача подорожал на 10% и 7% соответственно, в течение остальных 6 лет (2012-2017) данный тип оказываемых услуг </w:t>
      </w:r>
      <w:r>
        <w:rPr>
          <w:rFonts w:cs="Times New Roman"/>
          <w:szCs w:val="28"/>
        </w:rPr>
        <w:t>в среднем дорожал на 15% в год.</w:t>
      </w:r>
    </w:p>
    <w:p w:rsidR="00BE425B" w:rsidRPr="00BE425B" w:rsidRDefault="00BE425B" w:rsidP="00BE425B">
      <w:pPr>
        <w:pStyle w:val="af1"/>
        <w:ind w:firstLine="709"/>
        <w:rPr>
          <w:rFonts w:cs="Times New Roman"/>
          <w:b w:val="0"/>
          <w:color w:val="auto"/>
          <w:sz w:val="28"/>
          <w:szCs w:val="28"/>
        </w:rPr>
      </w:pPr>
      <w:r w:rsidRPr="00FD449E">
        <w:rPr>
          <w:color w:val="auto"/>
          <w:sz w:val="28"/>
          <w:szCs w:val="28"/>
        </w:rPr>
        <w:t xml:space="preserve">Рисунок </w:t>
      </w:r>
      <w:r w:rsidR="00CA443F" w:rsidRPr="00FD449E">
        <w:rPr>
          <w:color w:val="auto"/>
          <w:sz w:val="28"/>
          <w:szCs w:val="28"/>
        </w:rPr>
        <w:fldChar w:fldCharType="begin"/>
      </w:r>
      <w:r w:rsidRPr="00FD449E">
        <w:rPr>
          <w:color w:val="auto"/>
          <w:sz w:val="28"/>
          <w:szCs w:val="28"/>
        </w:rPr>
        <w:instrText xml:space="preserve"> SEQ Рисунок \* ARABIC </w:instrText>
      </w:r>
      <w:r w:rsidR="00CA443F" w:rsidRPr="00FD449E">
        <w:rPr>
          <w:color w:val="auto"/>
          <w:sz w:val="28"/>
          <w:szCs w:val="28"/>
        </w:rPr>
        <w:fldChar w:fldCharType="separate"/>
      </w:r>
      <w:r w:rsidR="00F50120">
        <w:rPr>
          <w:noProof/>
          <w:color w:val="auto"/>
          <w:sz w:val="28"/>
          <w:szCs w:val="28"/>
        </w:rPr>
        <w:t>8</w:t>
      </w:r>
      <w:r w:rsidR="00CA443F" w:rsidRPr="00FD449E">
        <w:rPr>
          <w:color w:val="auto"/>
          <w:sz w:val="28"/>
          <w:szCs w:val="28"/>
        </w:rPr>
        <w:fldChar w:fldCharType="end"/>
      </w:r>
      <w:r w:rsidRPr="00FD449E">
        <w:rPr>
          <w:rFonts w:cs="Times New Roman"/>
          <w:color w:val="auto"/>
          <w:sz w:val="28"/>
          <w:szCs w:val="28"/>
        </w:rPr>
        <w:t>– Рост уровня цен относительно 2010 года, %</w:t>
      </w:r>
    </w:p>
    <w:p w:rsidR="00FA4411" w:rsidRPr="003C3F3F" w:rsidRDefault="00FA4411" w:rsidP="00FA4411">
      <w:pPr>
        <w:spacing w:after="0" w:line="240" w:lineRule="auto"/>
        <w:ind w:firstLine="709"/>
        <w:rPr>
          <w:rFonts w:cs="Times New Roman"/>
          <w:szCs w:val="28"/>
        </w:rPr>
      </w:pPr>
      <w:r w:rsidRPr="003C3F3F">
        <w:rPr>
          <w:rFonts w:cs="Times New Roman"/>
          <w:noProof/>
          <w:szCs w:val="28"/>
          <w:lang w:eastAsia="ru-RU"/>
        </w:rPr>
        <w:drawing>
          <wp:inline distT="0" distB="0" distL="0" distR="0">
            <wp:extent cx="5805377" cy="3700130"/>
            <wp:effectExtent l="0" t="0" r="24130" b="15240"/>
            <wp:docPr id="13" name="Диаграмма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rsidR="00BE425B" w:rsidRPr="00BE425B" w:rsidRDefault="008534FE" w:rsidP="00BE425B">
      <w:pPr>
        <w:spacing w:after="0" w:line="240" w:lineRule="auto"/>
        <w:ind w:firstLine="709"/>
        <w:jc w:val="both"/>
        <w:rPr>
          <w:rFonts w:cs="Times New Roman"/>
          <w:i/>
          <w:szCs w:val="28"/>
        </w:rPr>
      </w:pPr>
      <w:r w:rsidRPr="003C3F3F">
        <w:rPr>
          <w:rFonts w:cs="Times New Roman"/>
          <w:i/>
          <w:szCs w:val="28"/>
        </w:rPr>
        <w:t xml:space="preserve">Источник: </w:t>
      </w:r>
      <w:r>
        <w:rPr>
          <w:rFonts w:cs="Times New Roman"/>
          <w:i/>
          <w:szCs w:val="28"/>
        </w:rPr>
        <w:t>расчеты авторов</w:t>
      </w:r>
    </w:p>
    <w:p w:rsidR="00FA4411" w:rsidRPr="003C3F3F" w:rsidRDefault="00FA4411" w:rsidP="00FA4411">
      <w:pPr>
        <w:spacing w:after="0" w:line="240" w:lineRule="auto"/>
        <w:ind w:firstLine="709"/>
        <w:jc w:val="both"/>
        <w:rPr>
          <w:rFonts w:cs="Times New Roman"/>
          <w:szCs w:val="28"/>
        </w:rPr>
      </w:pPr>
      <w:r w:rsidRPr="003C3F3F">
        <w:rPr>
          <w:rFonts w:cs="Times New Roman"/>
          <w:szCs w:val="28"/>
        </w:rPr>
        <w:t>Значительно превышают уровень накопленной инфляции также медикамента, леченое оборудование и фармацевтические препараты. По данным категориям ИПЦ, рассчитанного по здравоохранению, наблюдается рост цен в 102,2% и 103,6% (в 2 раза) соответственно к уровню 2010 года.</w:t>
      </w:r>
    </w:p>
    <w:p w:rsidR="00985619" w:rsidRDefault="00FA4411" w:rsidP="00985619">
      <w:pPr>
        <w:spacing w:after="0" w:line="240" w:lineRule="auto"/>
        <w:ind w:firstLine="709"/>
        <w:jc w:val="both"/>
        <w:rPr>
          <w:rFonts w:cs="Times New Roman"/>
          <w:szCs w:val="28"/>
        </w:rPr>
      </w:pPr>
      <w:r w:rsidRPr="003C3F3F">
        <w:rPr>
          <w:rFonts w:cs="Times New Roman"/>
          <w:szCs w:val="28"/>
        </w:rPr>
        <w:t xml:space="preserve">Следует отметить, что относительно накопленного роста общего уровня цен по стране, стоматологические услуги, парамедицинские услуги продемонстрировали незначительное увеличение в цене. Учитывая, что данная категория услуг оказывается в большей части частными медицинскими организациями, можно сформировать вывод, свидетельствующий, что рост цен на такие компоненты медицинской инфляции, как фармацевтические препараты оказывает именно курсовая разница. </w:t>
      </w:r>
    </w:p>
    <w:p w:rsidR="00985619" w:rsidRPr="00985619" w:rsidRDefault="00985619" w:rsidP="00985619">
      <w:pPr>
        <w:spacing w:after="0" w:line="240" w:lineRule="auto"/>
        <w:ind w:firstLine="709"/>
        <w:jc w:val="center"/>
        <w:rPr>
          <w:rFonts w:cs="Times New Roman"/>
          <w:szCs w:val="28"/>
        </w:rPr>
      </w:pPr>
      <w:r w:rsidRPr="0084551E">
        <w:rPr>
          <w:rFonts w:cs="Times New Roman"/>
          <w:b/>
          <w:szCs w:val="28"/>
        </w:rPr>
        <w:t>Министерство здравоохранения Республики Казахстан</w:t>
      </w:r>
    </w:p>
    <w:p w:rsidR="00985619" w:rsidRPr="0084551E" w:rsidRDefault="00985619" w:rsidP="00985619">
      <w:pPr>
        <w:spacing w:after="0"/>
        <w:contextualSpacing/>
        <w:jc w:val="center"/>
        <w:rPr>
          <w:rFonts w:cs="Times New Roman"/>
          <w:b/>
          <w:szCs w:val="28"/>
        </w:rPr>
      </w:pPr>
      <w:r w:rsidRPr="0084551E">
        <w:rPr>
          <w:rFonts w:cs="Times New Roman"/>
          <w:b/>
          <w:szCs w:val="28"/>
        </w:rPr>
        <w:lastRenderedPageBreak/>
        <w:t xml:space="preserve">РГП </w:t>
      </w:r>
      <w:r>
        <w:rPr>
          <w:rFonts w:cs="Times New Roman"/>
          <w:b/>
          <w:szCs w:val="28"/>
        </w:rPr>
        <w:t xml:space="preserve">на ПХВ </w:t>
      </w:r>
      <w:r w:rsidRPr="0084551E">
        <w:rPr>
          <w:rFonts w:cs="Times New Roman"/>
          <w:b/>
          <w:szCs w:val="28"/>
        </w:rPr>
        <w:t>«Республиканский центр развития здравоохранения»</w:t>
      </w:r>
    </w:p>
    <w:p w:rsidR="00985619" w:rsidRPr="0084551E" w:rsidRDefault="00985619" w:rsidP="00985619">
      <w:pPr>
        <w:spacing w:after="0"/>
        <w:ind w:firstLine="709"/>
        <w:contextualSpacing/>
        <w:jc w:val="center"/>
        <w:rPr>
          <w:rFonts w:cs="Times New Roman"/>
          <w:b/>
          <w:sz w:val="32"/>
          <w:szCs w:val="28"/>
        </w:rPr>
      </w:pPr>
    </w:p>
    <w:p w:rsidR="00985619" w:rsidRPr="0084551E" w:rsidRDefault="00985619" w:rsidP="00985619">
      <w:pPr>
        <w:spacing w:after="0"/>
        <w:ind w:firstLine="709"/>
        <w:contextualSpacing/>
        <w:jc w:val="center"/>
        <w:rPr>
          <w:rFonts w:cs="Times New Roman"/>
          <w:b/>
          <w:sz w:val="32"/>
          <w:szCs w:val="28"/>
        </w:rPr>
      </w:pPr>
    </w:p>
    <w:p w:rsidR="00985619" w:rsidRPr="0084551E" w:rsidRDefault="00985619" w:rsidP="00985619">
      <w:pPr>
        <w:spacing w:after="0"/>
        <w:ind w:firstLine="709"/>
        <w:contextualSpacing/>
        <w:jc w:val="center"/>
        <w:rPr>
          <w:rFonts w:cs="Times New Roman"/>
          <w:b/>
          <w:sz w:val="32"/>
          <w:szCs w:val="28"/>
        </w:rPr>
      </w:pPr>
    </w:p>
    <w:p w:rsidR="00985619" w:rsidRPr="0084551E" w:rsidRDefault="00985619" w:rsidP="00985619">
      <w:pPr>
        <w:spacing w:after="0"/>
        <w:ind w:firstLine="709"/>
        <w:contextualSpacing/>
        <w:jc w:val="center"/>
        <w:rPr>
          <w:rFonts w:cs="Times New Roman"/>
          <w:b/>
          <w:sz w:val="32"/>
          <w:szCs w:val="28"/>
        </w:rPr>
      </w:pPr>
    </w:p>
    <w:p w:rsidR="00985619" w:rsidRPr="0084551E" w:rsidRDefault="00985619" w:rsidP="00985619">
      <w:pPr>
        <w:spacing w:after="0"/>
        <w:ind w:firstLine="709"/>
        <w:contextualSpacing/>
        <w:jc w:val="center"/>
        <w:rPr>
          <w:rFonts w:cs="Times New Roman"/>
          <w:b/>
          <w:sz w:val="32"/>
          <w:szCs w:val="28"/>
        </w:rPr>
      </w:pPr>
    </w:p>
    <w:p w:rsidR="00985619" w:rsidRPr="0084551E" w:rsidRDefault="00985619" w:rsidP="00985619">
      <w:pPr>
        <w:spacing w:after="0"/>
        <w:ind w:firstLine="709"/>
        <w:contextualSpacing/>
        <w:jc w:val="center"/>
        <w:rPr>
          <w:rFonts w:cs="Times New Roman"/>
          <w:b/>
          <w:sz w:val="32"/>
          <w:szCs w:val="28"/>
        </w:rPr>
      </w:pPr>
    </w:p>
    <w:p w:rsidR="00985619" w:rsidRPr="0084551E" w:rsidRDefault="00985619" w:rsidP="00985619">
      <w:pPr>
        <w:spacing w:after="0"/>
        <w:ind w:firstLine="709"/>
        <w:contextualSpacing/>
        <w:jc w:val="center"/>
        <w:rPr>
          <w:rFonts w:cs="Times New Roman"/>
          <w:b/>
          <w:sz w:val="32"/>
          <w:szCs w:val="28"/>
        </w:rPr>
      </w:pPr>
    </w:p>
    <w:p w:rsidR="00985619" w:rsidRPr="0084551E" w:rsidRDefault="00985619" w:rsidP="00985619">
      <w:pPr>
        <w:spacing w:after="0"/>
        <w:ind w:firstLine="709"/>
        <w:contextualSpacing/>
        <w:jc w:val="center"/>
        <w:rPr>
          <w:rFonts w:cs="Times New Roman"/>
          <w:b/>
          <w:sz w:val="32"/>
          <w:szCs w:val="28"/>
        </w:rPr>
      </w:pPr>
    </w:p>
    <w:p w:rsidR="00985619" w:rsidRPr="0084551E" w:rsidRDefault="00985619" w:rsidP="00985619">
      <w:pPr>
        <w:spacing w:after="0"/>
        <w:ind w:firstLine="709"/>
        <w:contextualSpacing/>
        <w:jc w:val="center"/>
        <w:rPr>
          <w:rFonts w:cs="Times New Roman"/>
          <w:b/>
          <w:sz w:val="32"/>
          <w:szCs w:val="28"/>
        </w:rPr>
      </w:pPr>
    </w:p>
    <w:p w:rsidR="00985619" w:rsidRPr="0084551E" w:rsidRDefault="00985619" w:rsidP="00985619">
      <w:pPr>
        <w:spacing w:after="0"/>
        <w:ind w:firstLine="709"/>
        <w:contextualSpacing/>
        <w:jc w:val="center"/>
        <w:rPr>
          <w:rFonts w:cs="Times New Roman"/>
          <w:b/>
          <w:sz w:val="32"/>
          <w:szCs w:val="28"/>
        </w:rPr>
      </w:pPr>
    </w:p>
    <w:p w:rsidR="00985619" w:rsidRDefault="00985619" w:rsidP="00985619">
      <w:pPr>
        <w:spacing w:after="0"/>
        <w:ind w:firstLine="709"/>
        <w:contextualSpacing/>
        <w:jc w:val="center"/>
        <w:rPr>
          <w:rFonts w:cs="Times New Roman"/>
          <w:b/>
          <w:sz w:val="32"/>
          <w:szCs w:val="28"/>
        </w:rPr>
      </w:pPr>
      <w:r>
        <w:rPr>
          <w:rFonts w:cs="Times New Roman"/>
          <w:b/>
          <w:sz w:val="32"/>
          <w:szCs w:val="28"/>
        </w:rPr>
        <w:t>Методика оценки уровня медицинской инфляции в РК за 2010-2017 гг.</w:t>
      </w:r>
    </w:p>
    <w:p w:rsidR="00985619" w:rsidRPr="0084551E" w:rsidRDefault="00985619" w:rsidP="00985619">
      <w:pPr>
        <w:spacing w:after="0"/>
        <w:ind w:firstLine="709"/>
        <w:contextualSpacing/>
        <w:jc w:val="center"/>
        <w:rPr>
          <w:rFonts w:cs="Times New Roman"/>
          <w:b/>
          <w:sz w:val="32"/>
          <w:szCs w:val="28"/>
        </w:rPr>
      </w:pPr>
    </w:p>
    <w:p w:rsidR="00985619" w:rsidRPr="0084551E" w:rsidRDefault="00985619" w:rsidP="00985619">
      <w:pPr>
        <w:spacing w:after="0"/>
        <w:ind w:firstLine="709"/>
        <w:contextualSpacing/>
        <w:jc w:val="center"/>
        <w:rPr>
          <w:rFonts w:cs="Times New Roman"/>
          <w:b/>
          <w:sz w:val="32"/>
          <w:szCs w:val="28"/>
        </w:rPr>
      </w:pPr>
    </w:p>
    <w:p w:rsidR="00985619" w:rsidRPr="0084551E" w:rsidRDefault="00985619" w:rsidP="00985619">
      <w:pPr>
        <w:spacing w:after="0"/>
        <w:ind w:firstLine="709"/>
        <w:contextualSpacing/>
        <w:jc w:val="center"/>
        <w:rPr>
          <w:rFonts w:cs="Times New Roman"/>
          <w:b/>
          <w:sz w:val="32"/>
          <w:szCs w:val="28"/>
        </w:rPr>
      </w:pPr>
    </w:p>
    <w:p w:rsidR="00985619" w:rsidRPr="0084551E" w:rsidRDefault="00985619" w:rsidP="00985619">
      <w:pPr>
        <w:spacing w:after="0"/>
        <w:ind w:firstLine="709"/>
        <w:contextualSpacing/>
        <w:jc w:val="center"/>
        <w:rPr>
          <w:rFonts w:cs="Times New Roman"/>
          <w:b/>
          <w:sz w:val="32"/>
          <w:szCs w:val="28"/>
        </w:rPr>
      </w:pPr>
    </w:p>
    <w:p w:rsidR="00985619" w:rsidRPr="0084551E" w:rsidRDefault="00985619" w:rsidP="00985619">
      <w:pPr>
        <w:spacing w:after="0"/>
        <w:ind w:firstLine="709"/>
        <w:contextualSpacing/>
        <w:jc w:val="center"/>
        <w:rPr>
          <w:rFonts w:cs="Times New Roman"/>
          <w:b/>
          <w:sz w:val="32"/>
          <w:szCs w:val="28"/>
        </w:rPr>
      </w:pPr>
    </w:p>
    <w:p w:rsidR="00985619" w:rsidRPr="0084551E" w:rsidRDefault="00985619" w:rsidP="00985619">
      <w:pPr>
        <w:spacing w:after="0"/>
        <w:ind w:firstLine="709"/>
        <w:contextualSpacing/>
        <w:jc w:val="center"/>
        <w:rPr>
          <w:rFonts w:cs="Times New Roman"/>
          <w:b/>
          <w:sz w:val="32"/>
          <w:szCs w:val="28"/>
        </w:rPr>
      </w:pPr>
    </w:p>
    <w:p w:rsidR="00985619" w:rsidRPr="0084551E" w:rsidRDefault="00985619" w:rsidP="00985619">
      <w:pPr>
        <w:spacing w:after="0"/>
        <w:ind w:firstLine="709"/>
        <w:contextualSpacing/>
        <w:jc w:val="center"/>
        <w:rPr>
          <w:rFonts w:cs="Times New Roman"/>
          <w:b/>
          <w:sz w:val="32"/>
          <w:szCs w:val="28"/>
        </w:rPr>
      </w:pPr>
    </w:p>
    <w:p w:rsidR="00985619" w:rsidRPr="0084551E" w:rsidRDefault="00985619" w:rsidP="00985619">
      <w:pPr>
        <w:spacing w:after="0"/>
        <w:ind w:firstLine="709"/>
        <w:contextualSpacing/>
        <w:jc w:val="center"/>
        <w:rPr>
          <w:rFonts w:cs="Times New Roman"/>
          <w:b/>
          <w:sz w:val="32"/>
          <w:szCs w:val="28"/>
        </w:rPr>
      </w:pPr>
    </w:p>
    <w:p w:rsidR="00985619" w:rsidRPr="0084551E" w:rsidRDefault="00985619" w:rsidP="00985619">
      <w:pPr>
        <w:spacing w:after="0"/>
        <w:ind w:firstLine="709"/>
        <w:contextualSpacing/>
        <w:jc w:val="center"/>
        <w:rPr>
          <w:rFonts w:cs="Times New Roman"/>
          <w:b/>
          <w:sz w:val="32"/>
          <w:szCs w:val="28"/>
        </w:rPr>
      </w:pPr>
    </w:p>
    <w:p w:rsidR="00985619" w:rsidRDefault="00985619" w:rsidP="00985619">
      <w:pPr>
        <w:spacing w:after="0"/>
        <w:ind w:firstLine="709"/>
        <w:contextualSpacing/>
        <w:jc w:val="center"/>
        <w:rPr>
          <w:rFonts w:cs="Times New Roman"/>
          <w:b/>
          <w:sz w:val="32"/>
          <w:szCs w:val="28"/>
        </w:rPr>
      </w:pPr>
    </w:p>
    <w:p w:rsidR="00985619" w:rsidRPr="0084551E" w:rsidRDefault="00985619" w:rsidP="00985619">
      <w:pPr>
        <w:spacing w:after="0"/>
        <w:ind w:firstLine="709"/>
        <w:contextualSpacing/>
        <w:jc w:val="center"/>
        <w:rPr>
          <w:rFonts w:cs="Times New Roman"/>
          <w:b/>
          <w:sz w:val="32"/>
          <w:szCs w:val="28"/>
        </w:rPr>
      </w:pPr>
    </w:p>
    <w:p w:rsidR="00985619" w:rsidRDefault="00985619" w:rsidP="00985619">
      <w:pPr>
        <w:spacing w:after="0"/>
        <w:ind w:firstLine="709"/>
        <w:contextualSpacing/>
        <w:jc w:val="center"/>
        <w:rPr>
          <w:rFonts w:cs="Times New Roman"/>
          <w:b/>
          <w:sz w:val="32"/>
          <w:szCs w:val="28"/>
        </w:rPr>
      </w:pPr>
    </w:p>
    <w:p w:rsidR="00985619" w:rsidRDefault="00985619" w:rsidP="00985619">
      <w:pPr>
        <w:spacing w:after="0"/>
        <w:ind w:firstLine="709"/>
        <w:contextualSpacing/>
        <w:jc w:val="center"/>
        <w:rPr>
          <w:rFonts w:cs="Times New Roman"/>
          <w:b/>
          <w:sz w:val="32"/>
          <w:szCs w:val="28"/>
        </w:rPr>
      </w:pPr>
    </w:p>
    <w:p w:rsidR="00985619" w:rsidRDefault="00985619" w:rsidP="00985619">
      <w:pPr>
        <w:spacing w:after="0"/>
        <w:ind w:firstLine="709"/>
        <w:contextualSpacing/>
        <w:jc w:val="center"/>
        <w:rPr>
          <w:rFonts w:cs="Times New Roman"/>
          <w:b/>
          <w:sz w:val="32"/>
          <w:szCs w:val="28"/>
        </w:rPr>
      </w:pPr>
    </w:p>
    <w:p w:rsidR="00985619" w:rsidRPr="0084551E" w:rsidRDefault="00985619" w:rsidP="00985619">
      <w:pPr>
        <w:spacing w:after="0"/>
        <w:contextualSpacing/>
        <w:rPr>
          <w:rFonts w:cs="Times New Roman"/>
          <w:b/>
          <w:sz w:val="32"/>
          <w:szCs w:val="28"/>
        </w:rPr>
      </w:pPr>
    </w:p>
    <w:p w:rsidR="00985619" w:rsidRPr="0084551E" w:rsidRDefault="00985619" w:rsidP="00985619">
      <w:pPr>
        <w:spacing w:after="0"/>
        <w:ind w:firstLine="709"/>
        <w:contextualSpacing/>
        <w:jc w:val="center"/>
        <w:rPr>
          <w:rFonts w:cs="Times New Roman"/>
          <w:b/>
          <w:sz w:val="32"/>
          <w:szCs w:val="28"/>
        </w:rPr>
      </w:pPr>
    </w:p>
    <w:p w:rsidR="00985619" w:rsidRPr="002F6A0D" w:rsidRDefault="00985619" w:rsidP="00985619">
      <w:pPr>
        <w:spacing w:after="0"/>
        <w:ind w:firstLine="709"/>
        <w:contextualSpacing/>
        <w:jc w:val="center"/>
        <w:rPr>
          <w:rFonts w:cs="Times New Roman"/>
          <w:b/>
          <w:szCs w:val="28"/>
        </w:rPr>
      </w:pPr>
      <w:r w:rsidRPr="0084551E">
        <w:rPr>
          <w:rFonts w:cs="Times New Roman"/>
          <w:b/>
          <w:szCs w:val="28"/>
        </w:rPr>
        <w:t>Астана, 201</w:t>
      </w:r>
      <w:r>
        <w:rPr>
          <w:rFonts w:cs="Times New Roman"/>
          <w:b/>
          <w:szCs w:val="28"/>
        </w:rPr>
        <w:t>8</w:t>
      </w:r>
      <w:r w:rsidRPr="0084551E">
        <w:rPr>
          <w:rFonts w:cs="Times New Roman"/>
          <w:b/>
          <w:szCs w:val="28"/>
        </w:rPr>
        <w:t xml:space="preserve"> год</w:t>
      </w:r>
    </w:p>
    <w:p w:rsidR="00985619" w:rsidRDefault="00985619" w:rsidP="00985619">
      <w:pPr>
        <w:spacing w:after="0"/>
        <w:ind w:firstLine="284"/>
        <w:contextualSpacing/>
        <w:jc w:val="both"/>
        <w:rPr>
          <w:rFonts w:cs="Times New Roman"/>
          <w:b/>
          <w:szCs w:val="28"/>
        </w:rPr>
      </w:pPr>
    </w:p>
    <w:p w:rsidR="00985619" w:rsidRDefault="00985619" w:rsidP="00985619">
      <w:pPr>
        <w:spacing w:after="0"/>
        <w:ind w:firstLine="284"/>
        <w:contextualSpacing/>
        <w:jc w:val="both"/>
        <w:rPr>
          <w:rFonts w:cs="Times New Roman"/>
          <w:b/>
          <w:szCs w:val="28"/>
        </w:rPr>
      </w:pPr>
    </w:p>
    <w:p w:rsidR="00985619" w:rsidRDefault="00985619" w:rsidP="00985619">
      <w:pPr>
        <w:spacing w:after="0"/>
        <w:ind w:firstLine="284"/>
        <w:contextualSpacing/>
        <w:jc w:val="both"/>
        <w:rPr>
          <w:rFonts w:cs="Times New Roman"/>
          <w:b/>
          <w:szCs w:val="28"/>
        </w:rPr>
      </w:pPr>
    </w:p>
    <w:p w:rsidR="00985619" w:rsidRDefault="00985619" w:rsidP="00985619">
      <w:pPr>
        <w:spacing w:after="0"/>
        <w:ind w:firstLine="284"/>
        <w:contextualSpacing/>
        <w:jc w:val="both"/>
        <w:rPr>
          <w:rFonts w:cs="Times New Roman"/>
          <w:b/>
          <w:szCs w:val="28"/>
        </w:rPr>
      </w:pPr>
    </w:p>
    <w:p w:rsidR="00985619" w:rsidRPr="00CD6D27" w:rsidRDefault="00985619" w:rsidP="00985619">
      <w:pPr>
        <w:spacing w:after="0"/>
        <w:ind w:firstLine="284"/>
        <w:contextualSpacing/>
        <w:jc w:val="both"/>
        <w:rPr>
          <w:rFonts w:cs="Times New Roman"/>
          <w:b/>
          <w:szCs w:val="28"/>
        </w:rPr>
      </w:pPr>
      <w:r w:rsidRPr="00CD6D27">
        <w:rPr>
          <w:rFonts w:cs="Times New Roman"/>
          <w:b/>
          <w:szCs w:val="28"/>
        </w:rPr>
        <w:lastRenderedPageBreak/>
        <w:t>УДК 614.2+33</w:t>
      </w:r>
    </w:p>
    <w:p w:rsidR="00985619" w:rsidRPr="00CD6D27" w:rsidRDefault="00985619" w:rsidP="00985619">
      <w:pPr>
        <w:spacing w:after="0"/>
        <w:ind w:firstLine="284"/>
        <w:contextualSpacing/>
        <w:jc w:val="both"/>
        <w:rPr>
          <w:rFonts w:cs="Times New Roman"/>
          <w:b/>
          <w:szCs w:val="28"/>
        </w:rPr>
      </w:pPr>
      <w:r w:rsidRPr="00CD6D27">
        <w:rPr>
          <w:rFonts w:cs="Times New Roman"/>
          <w:b/>
          <w:szCs w:val="28"/>
        </w:rPr>
        <w:t>ББК 51.1+65</w:t>
      </w:r>
    </w:p>
    <w:p w:rsidR="00985619" w:rsidRPr="00CD6D27" w:rsidRDefault="00985619" w:rsidP="00985619">
      <w:pPr>
        <w:spacing w:after="0"/>
        <w:ind w:firstLine="709"/>
        <w:contextualSpacing/>
        <w:jc w:val="both"/>
        <w:rPr>
          <w:rFonts w:cs="Times New Roman"/>
          <w:b/>
          <w:szCs w:val="28"/>
        </w:rPr>
      </w:pPr>
    </w:p>
    <w:p w:rsidR="00985619" w:rsidRPr="00CD6D27" w:rsidRDefault="00985619" w:rsidP="00985619">
      <w:pPr>
        <w:spacing w:after="0"/>
        <w:ind w:firstLine="709"/>
        <w:contextualSpacing/>
        <w:jc w:val="both"/>
        <w:rPr>
          <w:rFonts w:cs="Times New Roman"/>
          <w:b/>
          <w:szCs w:val="28"/>
        </w:rPr>
      </w:pPr>
    </w:p>
    <w:p w:rsidR="00985619" w:rsidRPr="00CD6D27" w:rsidRDefault="00985619" w:rsidP="00985619">
      <w:pPr>
        <w:spacing w:after="0"/>
        <w:ind w:firstLine="709"/>
        <w:contextualSpacing/>
        <w:jc w:val="both"/>
        <w:rPr>
          <w:rFonts w:cs="Times New Roman"/>
          <w:b/>
          <w:szCs w:val="28"/>
        </w:rPr>
      </w:pPr>
      <w:r w:rsidRPr="00CD6D27">
        <w:rPr>
          <w:rFonts w:cs="Times New Roman"/>
          <w:b/>
          <w:szCs w:val="28"/>
        </w:rPr>
        <w:t xml:space="preserve">  Авторы: </w:t>
      </w:r>
    </w:p>
    <w:p w:rsidR="00985619" w:rsidRPr="00CD6D27" w:rsidRDefault="00985619" w:rsidP="00985619">
      <w:pPr>
        <w:spacing w:after="0"/>
        <w:ind w:firstLine="709"/>
        <w:contextualSpacing/>
        <w:jc w:val="both"/>
        <w:rPr>
          <w:rFonts w:cs="Times New Roman"/>
          <w:b/>
          <w:szCs w:val="28"/>
        </w:rPr>
      </w:pPr>
      <w:r>
        <w:rPr>
          <w:rFonts w:cs="Times New Roman"/>
          <w:b/>
          <w:szCs w:val="28"/>
        </w:rPr>
        <w:t>Дайрабекова</w:t>
      </w:r>
      <w:r w:rsidRPr="00CD6D27">
        <w:rPr>
          <w:rFonts w:cs="Times New Roman"/>
          <w:b/>
          <w:szCs w:val="28"/>
        </w:rPr>
        <w:t xml:space="preserve"> А.</w:t>
      </w:r>
      <w:r>
        <w:rPr>
          <w:rFonts w:cs="Times New Roman"/>
          <w:b/>
          <w:szCs w:val="28"/>
        </w:rPr>
        <w:t>Д</w:t>
      </w:r>
      <w:r w:rsidRPr="00CD6D27">
        <w:rPr>
          <w:rFonts w:cs="Times New Roman"/>
          <w:b/>
          <w:szCs w:val="28"/>
        </w:rPr>
        <w:t xml:space="preserve">. – </w:t>
      </w:r>
      <w:r>
        <w:rPr>
          <w:rFonts w:cs="Times New Roman"/>
          <w:szCs w:val="28"/>
        </w:rPr>
        <w:t>начальник отдела развития национальных счетов здравоохранения</w:t>
      </w:r>
      <w:r w:rsidRPr="00CD6D27">
        <w:rPr>
          <w:rFonts w:cs="Times New Roman"/>
          <w:szCs w:val="28"/>
        </w:rPr>
        <w:t xml:space="preserve"> Центра </w:t>
      </w:r>
      <w:r>
        <w:rPr>
          <w:rFonts w:cs="Times New Roman"/>
          <w:szCs w:val="28"/>
        </w:rPr>
        <w:t>экономики здравоохранения</w:t>
      </w:r>
      <w:r w:rsidRPr="00CD6D27">
        <w:rPr>
          <w:rFonts w:cs="Times New Roman"/>
          <w:szCs w:val="28"/>
        </w:rPr>
        <w:t xml:space="preserve"> Республиканского центра развития здравоохранения</w:t>
      </w:r>
    </w:p>
    <w:p w:rsidR="00985619" w:rsidRPr="00CD6D27" w:rsidRDefault="00985619" w:rsidP="00985619">
      <w:pPr>
        <w:spacing w:after="0"/>
        <w:ind w:firstLine="851"/>
        <w:contextualSpacing/>
        <w:jc w:val="both"/>
        <w:rPr>
          <w:rFonts w:cs="Times New Roman"/>
          <w:szCs w:val="28"/>
        </w:rPr>
      </w:pPr>
      <w:r>
        <w:rPr>
          <w:rFonts w:cs="Times New Roman"/>
          <w:b/>
          <w:szCs w:val="28"/>
        </w:rPr>
        <w:t>ЗагидуллинаГ</w:t>
      </w:r>
      <w:r w:rsidRPr="00CD6D27">
        <w:rPr>
          <w:rFonts w:cs="Times New Roman"/>
          <w:b/>
          <w:szCs w:val="28"/>
        </w:rPr>
        <w:t>.</w:t>
      </w:r>
      <w:r>
        <w:rPr>
          <w:rFonts w:cs="Times New Roman"/>
          <w:b/>
          <w:szCs w:val="28"/>
        </w:rPr>
        <w:t>Н</w:t>
      </w:r>
      <w:r w:rsidRPr="00CD6D27">
        <w:rPr>
          <w:rFonts w:cs="Times New Roman"/>
          <w:b/>
          <w:szCs w:val="28"/>
        </w:rPr>
        <w:t xml:space="preserve">. – </w:t>
      </w:r>
      <w:r>
        <w:rPr>
          <w:rFonts w:cs="Times New Roman"/>
          <w:szCs w:val="28"/>
        </w:rPr>
        <w:t>ведущий менеджер отдела развития национальных счетов здравоохранения</w:t>
      </w:r>
      <w:r w:rsidRPr="00CD6D27">
        <w:rPr>
          <w:rFonts w:cs="Times New Roman"/>
          <w:szCs w:val="28"/>
        </w:rPr>
        <w:t xml:space="preserve"> Центра </w:t>
      </w:r>
      <w:r>
        <w:rPr>
          <w:rFonts w:cs="Times New Roman"/>
          <w:szCs w:val="28"/>
        </w:rPr>
        <w:t>экономики здравоохранения</w:t>
      </w:r>
      <w:r w:rsidRPr="00CD6D27">
        <w:rPr>
          <w:rFonts w:cs="Times New Roman"/>
          <w:szCs w:val="28"/>
        </w:rPr>
        <w:t xml:space="preserve"> Республиканского центра развития здравоохранения</w:t>
      </w:r>
    </w:p>
    <w:p w:rsidR="00985619" w:rsidRPr="00CD6D27" w:rsidRDefault="00985619" w:rsidP="00985619">
      <w:pPr>
        <w:spacing w:after="0"/>
        <w:ind w:firstLine="709"/>
        <w:contextualSpacing/>
        <w:jc w:val="both"/>
        <w:rPr>
          <w:rFonts w:cs="Times New Roman"/>
          <w:b/>
          <w:szCs w:val="28"/>
        </w:rPr>
      </w:pPr>
    </w:p>
    <w:p w:rsidR="00985619" w:rsidRPr="00CD6D27" w:rsidRDefault="00985619" w:rsidP="00985619">
      <w:pPr>
        <w:spacing w:after="0"/>
        <w:ind w:firstLine="851"/>
        <w:contextualSpacing/>
        <w:jc w:val="both"/>
        <w:rPr>
          <w:rFonts w:cs="Times New Roman"/>
          <w:szCs w:val="28"/>
        </w:rPr>
      </w:pPr>
      <w:r w:rsidRPr="00CD6D27">
        <w:rPr>
          <w:rFonts w:cs="Times New Roman"/>
          <w:szCs w:val="28"/>
        </w:rPr>
        <w:t xml:space="preserve">Разработка методики </w:t>
      </w:r>
      <w:r w:rsidRPr="00482E76">
        <w:rPr>
          <w:rFonts w:cs="Times New Roman"/>
          <w:szCs w:val="28"/>
        </w:rPr>
        <w:t>оценки уровня медицинской инфляции в РК за 20</w:t>
      </w:r>
      <w:r>
        <w:rPr>
          <w:rFonts w:cs="Times New Roman"/>
          <w:szCs w:val="28"/>
        </w:rPr>
        <w:t>10-2017 гг</w:t>
      </w:r>
      <w:r w:rsidRPr="00482E76">
        <w:rPr>
          <w:rFonts w:cs="Times New Roman"/>
          <w:szCs w:val="28"/>
        </w:rPr>
        <w:t>:</w:t>
      </w:r>
      <w:r w:rsidRPr="00CD6D27">
        <w:rPr>
          <w:rFonts w:cs="Times New Roman"/>
          <w:szCs w:val="28"/>
        </w:rPr>
        <w:t xml:space="preserve">Методические рекомендации / </w:t>
      </w:r>
      <w:r>
        <w:rPr>
          <w:rFonts w:cs="Times New Roman"/>
          <w:szCs w:val="28"/>
        </w:rPr>
        <w:t>Дайрабекова</w:t>
      </w:r>
      <w:r w:rsidRPr="00CD6D27">
        <w:rPr>
          <w:rFonts w:cs="Times New Roman"/>
          <w:szCs w:val="28"/>
        </w:rPr>
        <w:t xml:space="preserve"> А.</w:t>
      </w:r>
      <w:r>
        <w:rPr>
          <w:rFonts w:cs="Times New Roman"/>
          <w:szCs w:val="28"/>
        </w:rPr>
        <w:t>Д</w:t>
      </w:r>
      <w:r w:rsidRPr="00CD6D27">
        <w:rPr>
          <w:rFonts w:cs="Times New Roman"/>
          <w:szCs w:val="28"/>
        </w:rPr>
        <w:t xml:space="preserve">, </w:t>
      </w:r>
      <w:r>
        <w:rPr>
          <w:rFonts w:cs="Times New Roman"/>
          <w:szCs w:val="28"/>
        </w:rPr>
        <w:t>Загидуллина Г</w:t>
      </w:r>
      <w:r w:rsidRPr="00CD6D27">
        <w:rPr>
          <w:rFonts w:cs="Times New Roman"/>
          <w:szCs w:val="28"/>
        </w:rPr>
        <w:t>.</w:t>
      </w:r>
      <w:r>
        <w:rPr>
          <w:rFonts w:cs="Times New Roman"/>
          <w:szCs w:val="28"/>
        </w:rPr>
        <w:t>Н</w:t>
      </w:r>
      <w:r w:rsidRPr="00CD6D27">
        <w:rPr>
          <w:rFonts w:cs="Times New Roman"/>
          <w:szCs w:val="28"/>
        </w:rPr>
        <w:t xml:space="preserve">.// Астана: Республиканский центр развития здравоохранения, </w:t>
      </w:r>
      <w:r>
        <w:rPr>
          <w:rFonts w:cs="Times New Roman"/>
          <w:szCs w:val="28"/>
        </w:rPr>
        <w:t xml:space="preserve">2018 - </w:t>
      </w:r>
      <w:r w:rsidRPr="00AD712A">
        <w:rPr>
          <w:rFonts w:cs="Times New Roman"/>
          <w:szCs w:val="28"/>
        </w:rPr>
        <w:t>16 с.</w:t>
      </w:r>
    </w:p>
    <w:p w:rsidR="00985619" w:rsidRPr="00CD6D27" w:rsidRDefault="00985619" w:rsidP="00985619">
      <w:pPr>
        <w:spacing w:after="0"/>
        <w:contextualSpacing/>
        <w:jc w:val="both"/>
        <w:rPr>
          <w:rFonts w:cs="Times New Roman"/>
          <w:b/>
          <w:szCs w:val="28"/>
        </w:rPr>
      </w:pPr>
    </w:p>
    <w:p w:rsidR="00985619" w:rsidRPr="00E37708" w:rsidRDefault="00985619" w:rsidP="00985619">
      <w:pPr>
        <w:spacing w:after="0"/>
        <w:ind w:firstLine="709"/>
        <w:contextualSpacing/>
        <w:jc w:val="both"/>
        <w:rPr>
          <w:rFonts w:cs="Times New Roman"/>
          <w:szCs w:val="28"/>
        </w:rPr>
      </w:pPr>
      <w:r w:rsidRPr="00E37708">
        <w:rPr>
          <w:rFonts w:cs="Times New Roman"/>
          <w:szCs w:val="28"/>
        </w:rPr>
        <w:t xml:space="preserve">Настоящие методические рекомендации рассматривают передовой опыт оценки  уровня медицинской инфляции в странах с развитой системой здравоохранения.  Равным образом, предлагаемая методика устанавливает методы расчета индикаторов, а также источники данных, с помощью которых рассматривается возможность осуществления сбора данных для последующего анализа структуры частных расходов и формирования более целостной картины изменения общего уровня цен в секторе здравоохранения. </w:t>
      </w:r>
    </w:p>
    <w:p w:rsidR="00985619" w:rsidRPr="00CD6D27" w:rsidRDefault="00985619" w:rsidP="00985619">
      <w:pPr>
        <w:spacing w:after="0"/>
        <w:ind w:firstLine="709"/>
        <w:contextualSpacing/>
        <w:jc w:val="both"/>
        <w:rPr>
          <w:rFonts w:cs="Times New Roman"/>
          <w:b/>
          <w:szCs w:val="28"/>
        </w:rPr>
      </w:pPr>
    </w:p>
    <w:p w:rsidR="00985619" w:rsidRPr="00306E2F" w:rsidRDefault="00985619" w:rsidP="00985619">
      <w:pPr>
        <w:spacing w:after="0"/>
        <w:ind w:firstLine="709"/>
        <w:contextualSpacing/>
        <w:jc w:val="both"/>
        <w:rPr>
          <w:rFonts w:cs="Times New Roman"/>
          <w:b/>
          <w:szCs w:val="28"/>
        </w:rPr>
      </w:pPr>
    </w:p>
    <w:p w:rsidR="00985619" w:rsidRPr="00306E2F" w:rsidRDefault="00985619" w:rsidP="00985619">
      <w:pPr>
        <w:spacing w:after="0"/>
        <w:ind w:firstLine="709"/>
        <w:contextualSpacing/>
        <w:jc w:val="both"/>
        <w:rPr>
          <w:rFonts w:cs="Times New Roman"/>
          <w:b/>
          <w:szCs w:val="28"/>
        </w:rPr>
      </w:pPr>
    </w:p>
    <w:p w:rsidR="00985619" w:rsidRPr="00CD6D27" w:rsidRDefault="00985619" w:rsidP="00985619">
      <w:pPr>
        <w:spacing w:after="0"/>
        <w:contextualSpacing/>
        <w:rPr>
          <w:rFonts w:cs="Times New Roman"/>
          <w:b/>
          <w:szCs w:val="28"/>
        </w:rPr>
      </w:pPr>
    </w:p>
    <w:p w:rsidR="00985619" w:rsidRPr="00CD6D27" w:rsidRDefault="00985619" w:rsidP="00985619">
      <w:pPr>
        <w:spacing w:after="0"/>
        <w:ind w:firstLine="709"/>
        <w:contextualSpacing/>
        <w:jc w:val="center"/>
        <w:rPr>
          <w:rFonts w:cs="Times New Roman"/>
          <w:b/>
          <w:szCs w:val="28"/>
        </w:rPr>
      </w:pPr>
    </w:p>
    <w:p w:rsidR="00985619" w:rsidRPr="00CD6D27" w:rsidRDefault="00985619" w:rsidP="00985619">
      <w:pPr>
        <w:spacing w:after="0"/>
        <w:ind w:firstLine="709"/>
        <w:contextualSpacing/>
        <w:jc w:val="center"/>
        <w:rPr>
          <w:rFonts w:cs="Times New Roman"/>
          <w:b/>
          <w:szCs w:val="28"/>
        </w:rPr>
      </w:pPr>
    </w:p>
    <w:p w:rsidR="00985619" w:rsidRPr="00CD6D27" w:rsidRDefault="00985619" w:rsidP="00985619">
      <w:pPr>
        <w:spacing w:after="0"/>
        <w:ind w:firstLine="709"/>
        <w:contextualSpacing/>
        <w:jc w:val="center"/>
        <w:rPr>
          <w:rFonts w:cs="Times New Roman"/>
          <w:b/>
          <w:szCs w:val="28"/>
        </w:rPr>
      </w:pPr>
    </w:p>
    <w:p w:rsidR="00985619" w:rsidRPr="00CD6D27" w:rsidRDefault="00985619" w:rsidP="00985619">
      <w:pPr>
        <w:spacing w:after="0"/>
        <w:ind w:firstLine="709"/>
        <w:contextualSpacing/>
        <w:jc w:val="center"/>
        <w:rPr>
          <w:rFonts w:cs="Times New Roman"/>
          <w:b/>
          <w:szCs w:val="28"/>
        </w:rPr>
      </w:pPr>
    </w:p>
    <w:p w:rsidR="00985619" w:rsidRPr="00CD6D27" w:rsidRDefault="00985619" w:rsidP="00985619">
      <w:pPr>
        <w:spacing w:after="0"/>
        <w:ind w:firstLine="709"/>
        <w:contextualSpacing/>
        <w:jc w:val="center"/>
        <w:rPr>
          <w:rFonts w:cs="Times New Roman"/>
          <w:b/>
          <w:szCs w:val="28"/>
        </w:rPr>
      </w:pPr>
    </w:p>
    <w:p w:rsidR="00985619" w:rsidRPr="00CD6D27" w:rsidRDefault="00985619" w:rsidP="00985619">
      <w:pPr>
        <w:spacing w:after="0"/>
        <w:ind w:firstLine="709"/>
        <w:contextualSpacing/>
        <w:jc w:val="center"/>
        <w:rPr>
          <w:rFonts w:cs="Times New Roman"/>
          <w:b/>
          <w:szCs w:val="28"/>
        </w:rPr>
      </w:pPr>
    </w:p>
    <w:p w:rsidR="00985619" w:rsidRPr="00CD6D27" w:rsidRDefault="00985619" w:rsidP="00985619">
      <w:pPr>
        <w:spacing w:after="0"/>
        <w:ind w:firstLine="709"/>
        <w:contextualSpacing/>
        <w:jc w:val="center"/>
        <w:rPr>
          <w:rFonts w:cs="Times New Roman"/>
          <w:b/>
          <w:szCs w:val="28"/>
        </w:rPr>
      </w:pPr>
    </w:p>
    <w:p w:rsidR="00985619" w:rsidRPr="00CD6D27" w:rsidRDefault="00985619" w:rsidP="00985619">
      <w:pPr>
        <w:spacing w:after="0"/>
        <w:ind w:firstLine="709"/>
        <w:contextualSpacing/>
        <w:jc w:val="center"/>
        <w:rPr>
          <w:rFonts w:cs="Times New Roman"/>
          <w:b/>
          <w:szCs w:val="28"/>
        </w:rPr>
      </w:pPr>
    </w:p>
    <w:p w:rsidR="00985619" w:rsidRPr="00CD6D27" w:rsidRDefault="00985619" w:rsidP="00985619">
      <w:pPr>
        <w:spacing w:after="0"/>
        <w:ind w:firstLine="709"/>
        <w:contextualSpacing/>
        <w:jc w:val="center"/>
        <w:rPr>
          <w:rFonts w:cs="Times New Roman"/>
          <w:b/>
          <w:szCs w:val="28"/>
        </w:rPr>
      </w:pPr>
    </w:p>
    <w:p w:rsidR="00985619" w:rsidRPr="00CD6D27" w:rsidRDefault="00985619" w:rsidP="00985619">
      <w:pPr>
        <w:spacing w:after="0"/>
        <w:contextualSpacing/>
        <w:rPr>
          <w:rFonts w:cs="Times New Roman"/>
          <w:b/>
          <w:szCs w:val="28"/>
        </w:rPr>
      </w:pPr>
    </w:p>
    <w:sdt>
      <w:sdtPr>
        <w:rPr>
          <w:rFonts w:asciiTheme="minorHAnsi" w:eastAsiaTheme="minorHAnsi" w:hAnsiTheme="minorHAnsi" w:cs="Times New Roman"/>
          <w:b w:val="0"/>
          <w:bCs w:val="0"/>
          <w:color w:val="auto"/>
          <w:sz w:val="22"/>
          <w:szCs w:val="22"/>
          <w:lang w:val="ru-RU" w:eastAsia="en-US"/>
        </w:rPr>
        <w:id w:val="-908074147"/>
        <w:docPartObj>
          <w:docPartGallery w:val="Table of Contents"/>
          <w:docPartUnique/>
        </w:docPartObj>
      </w:sdtPr>
      <w:sdtEndPr>
        <w:rPr>
          <w:rFonts w:ascii="Times New Roman" w:hAnsi="Times New Roman"/>
          <w:sz w:val="28"/>
        </w:rPr>
      </w:sdtEndPr>
      <w:sdtContent>
        <w:p w:rsidR="00985619" w:rsidRPr="00985619" w:rsidRDefault="00985619" w:rsidP="00985619">
          <w:pPr>
            <w:pStyle w:val="a6"/>
            <w:spacing w:after="240" w:line="240" w:lineRule="auto"/>
            <w:jc w:val="both"/>
            <w:rPr>
              <w:rFonts w:cs="Times New Roman"/>
              <w:color w:val="4F81BD" w:themeColor="accent1"/>
              <w:lang w:eastAsia="en-US"/>
            </w:rPr>
          </w:pPr>
          <w:r w:rsidRPr="00985619">
            <w:rPr>
              <w:rFonts w:cs="Times New Roman"/>
              <w:color w:val="4F81BD" w:themeColor="accent1"/>
              <w:lang w:eastAsia="en-US"/>
            </w:rPr>
            <w:t>Оглавление</w:t>
          </w:r>
        </w:p>
        <w:p w:rsidR="00985619" w:rsidRPr="00985619" w:rsidRDefault="00CA443F" w:rsidP="00985619">
          <w:pPr>
            <w:pStyle w:val="11"/>
            <w:tabs>
              <w:tab w:val="clear" w:pos="9356"/>
              <w:tab w:val="right" w:leader="dot" w:pos="9345"/>
            </w:tabs>
            <w:rPr>
              <w:rFonts w:eastAsiaTheme="minorEastAsia" w:cs="Times New Roman"/>
              <w:noProof/>
              <w:szCs w:val="28"/>
              <w:lang w:eastAsia="ru-RU"/>
            </w:rPr>
          </w:pPr>
          <w:r w:rsidRPr="00985619">
            <w:rPr>
              <w:rFonts w:cs="Times New Roman"/>
              <w:szCs w:val="28"/>
            </w:rPr>
            <w:fldChar w:fldCharType="begin"/>
          </w:r>
          <w:r w:rsidR="00985619" w:rsidRPr="00985619">
            <w:rPr>
              <w:rFonts w:cs="Times New Roman"/>
              <w:szCs w:val="28"/>
            </w:rPr>
            <w:instrText xml:space="preserve"> TOC \o "1-3" \h \z \u </w:instrText>
          </w:r>
          <w:r w:rsidRPr="00985619">
            <w:rPr>
              <w:rFonts w:cs="Times New Roman"/>
              <w:szCs w:val="28"/>
            </w:rPr>
            <w:fldChar w:fldCharType="separate"/>
          </w:r>
          <w:hyperlink w:anchor="_Toc518904373" w:history="1">
            <w:r w:rsidR="00985619" w:rsidRPr="00985619">
              <w:rPr>
                <w:rStyle w:val="a5"/>
                <w:rFonts w:cs="Times New Roman"/>
                <w:noProof/>
                <w:szCs w:val="28"/>
              </w:rPr>
              <w:t>Список сокращений и обозначений</w:t>
            </w:r>
            <w:r w:rsidR="00985619" w:rsidRPr="00985619">
              <w:rPr>
                <w:rFonts w:cs="Times New Roman"/>
                <w:noProof/>
                <w:webHidden/>
                <w:szCs w:val="28"/>
              </w:rPr>
              <w:tab/>
            </w:r>
            <w:r w:rsidR="00985619">
              <w:rPr>
                <w:rFonts w:cs="Times New Roman"/>
                <w:noProof/>
                <w:webHidden/>
                <w:szCs w:val="28"/>
              </w:rPr>
              <w:t>31</w:t>
            </w:r>
          </w:hyperlink>
        </w:p>
        <w:p w:rsidR="00985619" w:rsidRPr="00985619" w:rsidRDefault="005A3A2E" w:rsidP="00985619">
          <w:pPr>
            <w:pStyle w:val="11"/>
            <w:tabs>
              <w:tab w:val="clear" w:pos="9356"/>
              <w:tab w:val="right" w:leader="dot" w:pos="9345"/>
            </w:tabs>
            <w:rPr>
              <w:rFonts w:eastAsiaTheme="minorEastAsia" w:cs="Times New Roman"/>
              <w:noProof/>
              <w:szCs w:val="28"/>
              <w:lang w:eastAsia="ru-RU"/>
            </w:rPr>
          </w:pPr>
          <w:hyperlink w:anchor="_Toc518904374" w:history="1">
            <w:r w:rsidR="00985619" w:rsidRPr="00985619">
              <w:rPr>
                <w:rStyle w:val="a5"/>
                <w:rFonts w:cs="Times New Roman"/>
                <w:noProof/>
                <w:szCs w:val="28"/>
              </w:rPr>
              <w:t>Введение</w:t>
            </w:r>
            <w:r w:rsidR="00985619" w:rsidRPr="00985619">
              <w:rPr>
                <w:rFonts w:cs="Times New Roman"/>
                <w:noProof/>
                <w:webHidden/>
                <w:szCs w:val="28"/>
              </w:rPr>
              <w:tab/>
            </w:r>
            <w:r w:rsidR="00985619">
              <w:rPr>
                <w:rFonts w:cs="Times New Roman"/>
                <w:noProof/>
                <w:webHidden/>
                <w:szCs w:val="28"/>
              </w:rPr>
              <w:t>32</w:t>
            </w:r>
          </w:hyperlink>
        </w:p>
        <w:p w:rsidR="00985619" w:rsidRPr="00985619" w:rsidRDefault="005A3A2E" w:rsidP="00985619">
          <w:pPr>
            <w:pStyle w:val="21"/>
            <w:tabs>
              <w:tab w:val="right" w:leader="dot" w:pos="9345"/>
            </w:tabs>
            <w:ind w:left="0"/>
            <w:rPr>
              <w:rFonts w:ascii="Times New Roman" w:eastAsiaTheme="minorEastAsia" w:hAnsi="Times New Roman" w:cs="Times New Roman"/>
              <w:noProof/>
              <w:sz w:val="28"/>
              <w:szCs w:val="28"/>
              <w:lang w:eastAsia="ru-RU"/>
            </w:rPr>
          </w:pPr>
          <w:hyperlink w:anchor="_Toc518904375" w:history="1">
            <w:r w:rsidR="00985619" w:rsidRPr="00985619">
              <w:rPr>
                <w:rStyle w:val="a5"/>
                <w:rFonts w:ascii="Times New Roman" w:hAnsi="Times New Roman" w:cs="Times New Roman"/>
                <w:noProof/>
                <w:sz w:val="28"/>
                <w:szCs w:val="28"/>
              </w:rPr>
              <w:t>Передовой опыт оценки уровня медицинской инфляции</w:t>
            </w:r>
            <w:r w:rsidR="00985619" w:rsidRPr="00985619">
              <w:rPr>
                <w:rFonts w:ascii="Times New Roman" w:hAnsi="Times New Roman" w:cs="Times New Roman"/>
                <w:noProof/>
                <w:webHidden/>
                <w:sz w:val="28"/>
                <w:szCs w:val="28"/>
              </w:rPr>
              <w:tab/>
            </w:r>
            <w:r w:rsidR="00985619">
              <w:rPr>
                <w:rFonts w:ascii="Times New Roman" w:hAnsi="Times New Roman" w:cs="Times New Roman"/>
                <w:noProof/>
                <w:webHidden/>
                <w:sz w:val="28"/>
                <w:szCs w:val="28"/>
              </w:rPr>
              <w:t>33</w:t>
            </w:r>
          </w:hyperlink>
        </w:p>
        <w:p w:rsidR="00985619" w:rsidRPr="00985619" w:rsidRDefault="005A3A2E" w:rsidP="00985619">
          <w:pPr>
            <w:pStyle w:val="21"/>
            <w:tabs>
              <w:tab w:val="right" w:leader="dot" w:pos="9345"/>
            </w:tabs>
            <w:ind w:left="0"/>
            <w:rPr>
              <w:rFonts w:ascii="Times New Roman" w:eastAsiaTheme="minorEastAsia" w:hAnsi="Times New Roman" w:cs="Times New Roman"/>
              <w:noProof/>
              <w:sz w:val="28"/>
              <w:szCs w:val="28"/>
              <w:lang w:eastAsia="ru-RU"/>
            </w:rPr>
          </w:pPr>
          <w:hyperlink w:anchor="_Toc518904376" w:history="1">
            <w:r w:rsidR="00985619" w:rsidRPr="00985619">
              <w:rPr>
                <w:rStyle w:val="a5"/>
                <w:rFonts w:ascii="Times New Roman" w:hAnsi="Times New Roman" w:cs="Times New Roman"/>
                <w:noProof/>
                <w:sz w:val="28"/>
                <w:szCs w:val="28"/>
              </w:rPr>
              <w:t>Методология оценки уровня медицинской инфляции</w:t>
            </w:r>
            <w:r w:rsidR="00985619" w:rsidRPr="00985619">
              <w:rPr>
                <w:rFonts w:ascii="Times New Roman" w:hAnsi="Times New Roman" w:cs="Times New Roman"/>
                <w:noProof/>
                <w:webHidden/>
                <w:sz w:val="28"/>
                <w:szCs w:val="28"/>
              </w:rPr>
              <w:tab/>
            </w:r>
            <w:r w:rsidR="00CA443F" w:rsidRPr="00985619">
              <w:rPr>
                <w:rFonts w:ascii="Times New Roman" w:hAnsi="Times New Roman" w:cs="Times New Roman"/>
                <w:noProof/>
                <w:webHidden/>
                <w:sz w:val="28"/>
                <w:szCs w:val="28"/>
              </w:rPr>
              <w:fldChar w:fldCharType="begin"/>
            </w:r>
            <w:r w:rsidR="00985619" w:rsidRPr="00985619">
              <w:rPr>
                <w:rFonts w:ascii="Times New Roman" w:hAnsi="Times New Roman" w:cs="Times New Roman"/>
                <w:noProof/>
                <w:webHidden/>
                <w:sz w:val="28"/>
                <w:szCs w:val="28"/>
              </w:rPr>
              <w:instrText xml:space="preserve"> PAGEREF _Toc518904376 \h </w:instrText>
            </w:r>
            <w:r w:rsidR="00CA443F" w:rsidRPr="00985619">
              <w:rPr>
                <w:rFonts w:ascii="Times New Roman" w:hAnsi="Times New Roman" w:cs="Times New Roman"/>
                <w:noProof/>
                <w:webHidden/>
                <w:sz w:val="28"/>
                <w:szCs w:val="28"/>
              </w:rPr>
            </w:r>
            <w:r w:rsidR="00CA443F" w:rsidRPr="00985619">
              <w:rPr>
                <w:rFonts w:ascii="Times New Roman" w:hAnsi="Times New Roman" w:cs="Times New Roman"/>
                <w:noProof/>
                <w:webHidden/>
                <w:sz w:val="28"/>
                <w:szCs w:val="28"/>
              </w:rPr>
              <w:fldChar w:fldCharType="separate"/>
            </w:r>
            <w:r w:rsidR="00F50120">
              <w:rPr>
                <w:rFonts w:ascii="Times New Roman" w:hAnsi="Times New Roman" w:cs="Times New Roman"/>
                <w:noProof/>
                <w:webHidden/>
                <w:sz w:val="28"/>
                <w:szCs w:val="28"/>
              </w:rPr>
              <w:t>37</w:t>
            </w:r>
            <w:r w:rsidR="00CA443F" w:rsidRPr="00985619">
              <w:rPr>
                <w:rFonts w:ascii="Times New Roman" w:hAnsi="Times New Roman" w:cs="Times New Roman"/>
                <w:noProof/>
                <w:webHidden/>
                <w:sz w:val="28"/>
                <w:szCs w:val="28"/>
              </w:rPr>
              <w:fldChar w:fldCharType="end"/>
            </w:r>
          </w:hyperlink>
        </w:p>
        <w:p w:rsidR="00985619" w:rsidRPr="00985619" w:rsidRDefault="005A3A2E" w:rsidP="00985619">
          <w:pPr>
            <w:pStyle w:val="11"/>
            <w:tabs>
              <w:tab w:val="clear" w:pos="9356"/>
              <w:tab w:val="right" w:leader="dot" w:pos="9345"/>
            </w:tabs>
            <w:rPr>
              <w:rFonts w:eastAsiaTheme="minorEastAsia" w:cs="Times New Roman"/>
              <w:noProof/>
              <w:szCs w:val="28"/>
              <w:lang w:eastAsia="ru-RU"/>
            </w:rPr>
          </w:pPr>
          <w:hyperlink w:anchor="_Toc518904377" w:history="1">
            <w:r w:rsidR="00985619" w:rsidRPr="00985619">
              <w:rPr>
                <w:rStyle w:val="a5"/>
                <w:rFonts w:cs="Times New Roman"/>
                <w:noProof/>
                <w:szCs w:val="28"/>
              </w:rPr>
              <w:t>Заключение</w:t>
            </w:r>
            <w:r w:rsidR="00985619" w:rsidRPr="00985619">
              <w:rPr>
                <w:rFonts w:cs="Times New Roman"/>
                <w:noProof/>
                <w:webHidden/>
                <w:szCs w:val="28"/>
              </w:rPr>
              <w:tab/>
            </w:r>
            <w:r w:rsidR="00985619">
              <w:rPr>
                <w:rFonts w:cs="Times New Roman"/>
                <w:noProof/>
                <w:webHidden/>
                <w:szCs w:val="28"/>
              </w:rPr>
              <w:t>43</w:t>
            </w:r>
          </w:hyperlink>
        </w:p>
        <w:p w:rsidR="00985619" w:rsidRPr="00985619" w:rsidRDefault="005A3A2E" w:rsidP="00985619">
          <w:pPr>
            <w:pStyle w:val="11"/>
            <w:tabs>
              <w:tab w:val="clear" w:pos="9356"/>
              <w:tab w:val="right" w:leader="dot" w:pos="9345"/>
            </w:tabs>
            <w:rPr>
              <w:rFonts w:eastAsiaTheme="minorEastAsia"/>
              <w:noProof/>
              <w:szCs w:val="28"/>
              <w:lang w:eastAsia="ru-RU"/>
            </w:rPr>
          </w:pPr>
          <w:hyperlink w:anchor="_Toc518904378" w:history="1">
            <w:r w:rsidR="00985619" w:rsidRPr="00985619">
              <w:rPr>
                <w:rStyle w:val="a5"/>
                <w:rFonts w:cs="Times New Roman"/>
                <w:noProof/>
                <w:szCs w:val="28"/>
              </w:rPr>
              <w:t>Использованная литература</w:t>
            </w:r>
            <w:r w:rsidR="00985619" w:rsidRPr="00985619">
              <w:rPr>
                <w:rFonts w:cs="Times New Roman"/>
                <w:noProof/>
                <w:webHidden/>
                <w:szCs w:val="28"/>
              </w:rPr>
              <w:tab/>
            </w:r>
            <w:r w:rsidR="00985619">
              <w:rPr>
                <w:rFonts w:cs="Times New Roman"/>
                <w:noProof/>
                <w:webHidden/>
                <w:szCs w:val="28"/>
              </w:rPr>
              <w:t>44</w:t>
            </w:r>
          </w:hyperlink>
        </w:p>
        <w:p w:rsidR="00985619" w:rsidRPr="0084551E" w:rsidRDefault="00CA443F" w:rsidP="00985619">
          <w:pPr>
            <w:spacing w:after="0" w:line="240" w:lineRule="auto"/>
            <w:jc w:val="both"/>
            <w:rPr>
              <w:rFonts w:cs="Times New Roman"/>
            </w:rPr>
          </w:pPr>
          <w:r w:rsidRPr="00985619">
            <w:rPr>
              <w:rFonts w:cs="Times New Roman"/>
              <w:b/>
              <w:bCs/>
              <w:szCs w:val="28"/>
            </w:rPr>
            <w:fldChar w:fldCharType="end"/>
          </w:r>
        </w:p>
      </w:sdtContent>
    </w:sdt>
    <w:p w:rsidR="00985619" w:rsidRPr="0084551E" w:rsidRDefault="00985619" w:rsidP="00985619">
      <w:pPr>
        <w:spacing w:after="0" w:line="240" w:lineRule="auto"/>
        <w:ind w:firstLine="709"/>
        <w:contextualSpacing/>
        <w:jc w:val="both"/>
        <w:rPr>
          <w:rFonts w:cs="Times New Roman"/>
          <w:szCs w:val="28"/>
        </w:rPr>
      </w:pPr>
    </w:p>
    <w:p w:rsidR="00985619" w:rsidRPr="0084551E" w:rsidRDefault="00985619" w:rsidP="00985619">
      <w:pPr>
        <w:spacing w:after="0" w:line="240" w:lineRule="auto"/>
        <w:ind w:firstLine="709"/>
        <w:contextualSpacing/>
        <w:jc w:val="both"/>
        <w:rPr>
          <w:rFonts w:cs="Times New Roman"/>
          <w:szCs w:val="28"/>
        </w:rPr>
      </w:pPr>
    </w:p>
    <w:p w:rsidR="00985619" w:rsidRPr="0084551E" w:rsidRDefault="00985619" w:rsidP="00985619">
      <w:pPr>
        <w:spacing w:after="0" w:line="240" w:lineRule="auto"/>
        <w:ind w:firstLine="709"/>
        <w:contextualSpacing/>
        <w:jc w:val="both"/>
        <w:rPr>
          <w:rFonts w:cs="Times New Roman"/>
          <w:szCs w:val="28"/>
        </w:rPr>
      </w:pPr>
    </w:p>
    <w:p w:rsidR="00985619" w:rsidRPr="0084551E" w:rsidRDefault="00985619" w:rsidP="00985619">
      <w:pPr>
        <w:spacing w:after="0" w:line="240" w:lineRule="auto"/>
        <w:ind w:firstLine="709"/>
        <w:contextualSpacing/>
        <w:jc w:val="both"/>
        <w:rPr>
          <w:rFonts w:cs="Times New Roman"/>
          <w:szCs w:val="28"/>
        </w:rPr>
      </w:pPr>
    </w:p>
    <w:p w:rsidR="00985619" w:rsidRPr="0084551E" w:rsidRDefault="00985619" w:rsidP="00985619">
      <w:pPr>
        <w:spacing w:after="0" w:line="240" w:lineRule="auto"/>
        <w:ind w:firstLine="709"/>
        <w:contextualSpacing/>
        <w:jc w:val="both"/>
        <w:rPr>
          <w:rFonts w:cs="Times New Roman"/>
          <w:szCs w:val="28"/>
        </w:rPr>
      </w:pPr>
    </w:p>
    <w:p w:rsidR="00985619" w:rsidRPr="0084551E" w:rsidRDefault="00985619" w:rsidP="00985619">
      <w:pPr>
        <w:spacing w:after="0" w:line="240" w:lineRule="auto"/>
        <w:ind w:firstLine="709"/>
        <w:contextualSpacing/>
        <w:jc w:val="both"/>
        <w:rPr>
          <w:rFonts w:cs="Times New Roman"/>
          <w:szCs w:val="28"/>
        </w:rPr>
      </w:pPr>
    </w:p>
    <w:p w:rsidR="00985619" w:rsidRPr="0084551E" w:rsidRDefault="00985619" w:rsidP="00985619">
      <w:pPr>
        <w:spacing w:after="0" w:line="240" w:lineRule="auto"/>
        <w:ind w:firstLine="709"/>
        <w:contextualSpacing/>
        <w:jc w:val="both"/>
        <w:rPr>
          <w:rFonts w:cs="Times New Roman"/>
          <w:szCs w:val="28"/>
        </w:rPr>
      </w:pPr>
    </w:p>
    <w:p w:rsidR="00985619" w:rsidRPr="0084551E" w:rsidRDefault="00985619" w:rsidP="00985619">
      <w:pPr>
        <w:spacing w:after="0" w:line="240" w:lineRule="auto"/>
        <w:ind w:firstLine="709"/>
        <w:contextualSpacing/>
        <w:jc w:val="both"/>
        <w:rPr>
          <w:rFonts w:cs="Times New Roman"/>
          <w:szCs w:val="28"/>
        </w:rPr>
      </w:pPr>
    </w:p>
    <w:p w:rsidR="00985619" w:rsidRPr="0084551E" w:rsidRDefault="00985619" w:rsidP="00985619">
      <w:pPr>
        <w:spacing w:after="0" w:line="240" w:lineRule="auto"/>
        <w:ind w:firstLine="709"/>
        <w:contextualSpacing/>
        <w:jc w:val="both"/>
        <w:rPr>
          <w:rFonts w:cs="Times New Roman"/>
          <w:szCs w:val="28"/>
        </w:rPr>
      </w:pPr>
    </w:p>
    <w:p w:rsidR="00985619" w:rsidRPr="0084551E" w:rsidRDefault="00985619" w:rsidP="00985619">
      <w:pPr>
        <w:spacing w:after="0" w:line="240" w:lineRule="auto"/>
        <w:ind w:firstLine="709"/>
        <w:contextualSpacing/>
        <w:jc w:val="both"/>
        <w:rPr>
          <w:rFonts w:cs="Times New Roman"/>
          <w:szCs w:val="28"/>
        </w:rPr>
      </w:pPr>
    </w:p>
    <w:p w:rsidR="00985619" w:rsidRDefault="00985619" w:rsidP="00985619">
      <w:pPr>
        <w:spacing w:after="0" w:line="240" w:lineRule="auto"/>
        <w:ind w:firstLine="709"/>
        <w:contextualSpacing/>
        <w:jc w:val="both"/>
        <w:rPr>
          <w:rFonts w:cs="Times New Roman"/>
          <w:szCs w:val="28"/>
        </w:rPr>
      </w:pPr>
    </w:p>
    <w:p w:rsidR="00985619" w:rsidRPr="0084551E" w:rsidRDefault="00985619" w:rsidP="00985619">
      <w:pPr>
        <w:spacing w:after="0" w:line="240" w:lineRule="auto"/>
        <w:ind w:firstLine="709"/>
        <w:contextualSpacing/>
        <w:jc w:val="both"/>
        <w:rPr>
          <w:rFonts w:cs="Times New Roman"/>
          <w:szCs w:val="28"/>
        </w:rPr>
      </w:pPr>
    </w:p>
    <w:p w:rsidR="00985619" w:rsidRPr="0084551E" w:rsidRDefault="00985619" w:rsidP="00985619">
      <w:pPr>
        <w:spacing w:after="0" w:line="240" w:lineRule="auto"/>
        <w:ind w:firstLine="709"/>
        <w:contextualSpacing/>
        <w:jc w:val="both"/>
        <w:rPr>
          <w:rFonts w:cs="Times New Roman"/>
          <w:szCs w:val="28"/>
        </w:rPr>
      </w:pPr>
    </w:p>
    <w:p w:rsidR="00985619" w:rsidRPr="0084551E" w:rsidRDefault="00985619" w:rsidP="00985619">
      <w:pPr>
        <w:spacing w:after="0" w:line="240" w:lineRule="auto"/>
        <w:ind w:firstLine="709"/>
        <w:contextualSpacing/>
        <w:jc w:val="both"/>
        <w:rPr>
          <w:rFonts w:cs="Times New Roman"/>
          <w:szCs w:val="28"/>
        </w:rPr>
      </w:pPr>
    </w:p>
    <w:p w:rsidR="00985619" w:rsidRPr="0084551E" w:rsidRDefault="00985619" w:rsidP="00985619">
      <w:pPr>
        <w:spacing w:after="0" w:line="240" w:lineRule="auto"/>
        <w:ind w:firstLine="709"/>
        <w:contextualSpacing/>
        <w:jc w:val="both"/>
        <w:rPr>
          <w:rFonts w:cs="Times New Roman"/>
          <w:szCs w:val="28"/>
        </w:rPr>
      </w:pPr>
    </w:p>
    <w:p w:rsidR="00985619" w:rsidRPr="0084551E" w:rsidRDefault="00985619" w:rsidP="00985619">
      <w:pPr>
        <w:spacing w:after="0" w:line="240" w:lineRule="auto"/>
        <w:ind w:firstLine="709"/>
        <w:contextualSpacing/>
        <w:jc w:val="both"/>
        <w:rPr>
          <w:rFonts w:cs="Times New Roman"/>
          <w:szCs w:val="28"/>
        </w:rPr>
      </w:pPr>
    </w:p>
    <w:p w:rsidR="00985619" w:rsidRPr="0084551E" w:rsidRDefault="00985619" w:rsidP="00985619">
      <w:pPr>
        <w:spacing w:after="0" w:line="240" w:lineRule="auto"/>
        <w:ind w:firstLine="709"/>
        <w:contextualSpacing/>
        <w:jc w:val="both"/>
        <w:rPr>
          <w:rFonts w:cs="Times New Roman"/>
          <w:szCs w:val="28"/>
        </w:rPr>
      </w:pPr>
    </w:p>
    <w:p w:rsidR="00985619" w:rsidRPr="0084551E" w:rsidRDefault="00985619" w:rsidP="00985619">
      <w:pPr>
        <w:spacing w:after="0" w:line="240" w:lineRule="auto"/>
        <w:ind w:firstLine="709"/>
        <w:contextualSpacing/>
        <w:jc w:val="both"/>
        <w:rPr>
          <w:rFonts w:cs="Times New Roman"/>
          <w:szCs w:val="28"/>
        </w:rPr>
      </w:pPr>
    </w:p>
    <w:p w:rsidR="00985619" w:rsidRPr="0084551E" w:rsidRDefault="00985619" w:rsidP="00985619">
      <w:pPr>
        <w:spacing w:after="0" w:line="240" w:lineRule="auto"/>
        <w:ind w:firstLine="709"/>
        <w:contextualSpacing/>
        <w:jc w:val="both"/>
        <w:rPr>
          <w:rFonts w:cs="Times New Roman"/>
          <w:szCs w:val="28"/>
        </w:rPr>
      </w:pPr>
    </w:p>
    <w:p w:rsidR="00985619" w:rsidRDefault="00985619" w:rsidP="00985619">
      <w:pPr>
        <w:spacing w:after="0" w:line="240" w:lineRule="auto"/>
        <w:ind w:firstLine="709"/>
        <w:contextualSpacing/>
        <w:jc w:val="both"/>
        <w:rPr>
          <w:rFonts w:cs="Times New Roman"/>
          <w:szCs w:val="28"/>
        </w:rPr>
      </w:pPr>
    </w:p>
    <w:p w:rsidR="00985619" w:rsidRDefault="00985619" w:rsidP="00985619">
      <w:pPr>
        <w:spacing w:after="0" w:line="240" w:lineRule="auto"/>
        <w:ind w:firstLine="709"/>
        <w:contextualSpacing/>
        <w:jc w:val="both"/>
        <w:rPr>
          <w:rFonts w:cs="Times New Roman"/>
          <w:szCs w:val="28"/>
        </w:rPr>
      </w:pPr>
    </w:p>
    <w:p w:rsidR="00985619" w:rsidRDefault="00985619" w:rsidP="00985619">
      <w:pPr>
        <w:spacing w:after="0" w:line="240" w:lineRule="auto"/>
        <w:ind w:firstLine="709"/>
        <w:contextualSpacing/>
        <w:jc w:val="both"/>
        <w:rPr>
          <w:rFonts w:cs="Times New Roman"/>
          <w:szCs w:val="28"/>
        </w:rPr>
      </w:pPr>
    </w:p>
    <w:p w:rsidR="00985619" w:rsidRPr="0084551E" w:rsidRDefault="00985619" w:rsidP="00985619">
      <w:pPr>
        <w:spacing w:after="0" w:line="240" w:lineRule="auto"/>
        <w:ind w:firstLine="709"/>
        <w:contextualSpacing/>
        <w:jc w:val="both"/>
        <w:rPr>
          <w:rFonts w:cs="Times New Roman"/>
          <w:szCs w:val="28"/>
        </w:rPr>
      </w:pPr>
    </w:p>
    <w:p w:rsidR="00985619" w:rsidRPr="005E2CAE" w:rsidRDefault="00985619" w:rsidP="00985619">
      <w:bookmarkStart w:id="1" w:name="_Toc380757544"/>
      <w:bookmarkStart w:id="2" w:name="_Toc434336161"/>
    </w:p>
    <w:p w:rsidR="00985619" w:rsidRDefault="00985619" w:rsidP="00985619">
      <w:pPr>
        <w:rPr>
          <w:rFonts w:eastAsiaTheme="majorEastAsia" w:cs="Times New Roman"/>
          <w:b/>
          <w:bCs/>
          <w:color w:val="4F81BD" w:themeColor="accent1"/>
          <w:szCs w:val="28"/>
        </w:rPr>
      </w:pPr>
      <w:r>
        <w:rPr>
          <w:rFonts w:cs="Times New Roman"/>
          <w:color w:val="4F81BD" w:themeColor="accent1"/>
        </w:rPr>
        <w:br w:type="page"/>
      </w:r>
    </w:p>
    <w:p w:rsidR="00985619" w:rsidRPr="00A65BB3" w:rsidRDefault="00985619" w:rsidP="00985619">
      <w:pPr>
        <w:pStyle w:val="1"/>
        <w:spacing w:after="240" w:line="240" w:lineRule="auto"/>
        <w:jc w:val="both"/>
        <w:rPr>
          <w:rFonts w:cs="Times New Roman"/>
          <w:color w:val="4F81BD" w:themeColor="accent1"/>
        </w:rPr>
      </w:pPr>
      <w:bookmarkStart w:id="3" w:name="_Toc518904373"/>
      <w:r w:rsidRPr="00A65BB3">
        <w:rPr>
          <w:rFonts w:cs="Times New Roman"/>
          <w:color w:val="4F81BD" w:themeColor="accent1"/>
        </w:rPr>
        <w:lastRenderedPageBreak/>
        <w:t>Список сокращений и обозначений</w:t>
      </w:r>
      <w:bookmarkEnd w:id="1"/>
      <w:bookmarkEnd w:id="2"/>
      <w:bookmarkEnd w:id="3"/>
    </w:p>
    <w:tbl>
      <w:tblPr>
        <w:tblStyle w:val="a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17"/>
        <w:gridCol w:w="7438"/>
      </w:tblGrid>
      <w:tr w:rsidR="00985619" w:rsidRPr="00B76A3B" w:rsidTr="00014C4C">
        <w:tc>
          <w:tcPr>
            <w:tcW w:w="1951" w:type="dxa"/>
          </w:tcPr>
          <w:p w:rsidR="00985619" w:rsidRPr="00B76A3B" w:rsidRDefault="00985619" w:rsidP="00014C4C">
            <w:pPr>
              <w:contextualSpacing/>
              <w:jc w:val="both"/>
              <w:rPr>
                <w:rFonts w:cs="Times New Roman"/>
                <w:szCs w:val="28"/>
              </w:rPr>
            </w:pPr>
            <w:r w:rsidRPr="00B76A3B">
              <w:rPr>
                <w:rFonts w:cs="Times New Roman"/>
                <w:szCs w:val="28"/>
              </w:rPr>
              <w:t>ИПЦ</w:t>
            </w:r>
          </w:p>
        </w:tc>
        <w:tc>
          <w:tcPr>
            <w:tcW w:w="7544" w:type="dxa"/>
          </w:tcPr>
          <w:p w:rsidR="00985619" w:rsidRPr="00B76A3B" w:rsidRDefault="00985619" w:rsidP="00014C4C">
            <w:pPr>
              <w:contextualSpacing/>
              <w:jc w:val="both"/>
              <w:rPr>
                <w:rFonts w:cs="Times New Roman"/>
                <w:szCs w:val="28"/>
              </w:rPr>
            </w:pPr>
            <w:r w:rsidRPr="00B76A3B">
              <w:rPr>
                <w:rFonts w:cs="Times New Roman"/>
                <w:szCs w:val="28"/>
              </w:rPr>
              <w:t>Индекс потребительских цен</w:t>
            </w:r>
          </w:p>
        </w:tc>
      </w:tr>
      <w:tr w:rsidR="00985619" w:rsidRPr="00B76A3B" w:rsidTr="00014C4C">
        <w:tc>
          <w:tcPr>
            <w:tcW w:w="1951" w:type="dxa"/>
          </w:tcPr>
          <w:p w:rsidR="00985619" w:rsidRPr="00B76A3B" w:rsidRDefault="00985619" w:rsidP="00014C4C">
            <w:pPr>
              <w:contextualSpacing/>
              <w:jc w:val="both"/>
              <w:rPr>
                <w:rFonts w:cs="Times New Roman"/>
                <w:szCs w:val="28"/>
              </w:rPr>
            </w:pPr>
            <w:r w:rsidRPr="00B76A3B">
              <w:rPr>
                <w:rFonts w:cs="Times New Roman"/>
                <w:szCs w:val="28"/>
              </w:rPr>
              <w:t>РСЕ</w:t>
            </w:r>
          </w:p>
        </w:tc>
        <w:tc>
          <w:tcPr>
            <w:tcW w:w="7544" w:type="dxa"/>
          </w:tcPr>
          <w:p w:rsidR="00985619" w:rsidRPr="00B76A3B" w:rsidRDefault="00985619" w:rsidP="00014C4C">
            <w:pPr>
              <w:contextualSpacing/>
              <w:jc w:val="both"/>
              <w:rPr>
                <w:rFonts w:cs="Times New Roman"/>
                <w:szCs w:val="28"/>
              </w:rPr>
            </w:pPr>
            <w:r w:rsidRPr="00B76A3B">
              <w:rPr>
                <w:rFonts w:cs="Times New Roman"/>
                <w:szCs w:val="28"/>
                <w:lang w:val="en-US"/>
              </w:rPr>
              <w:t>PersonalConsumptionExpenditures</w:t>
            </w:r>
          </w:p>
        </w:tc>
      </w:tr>
      <w:tr w:rsidR="00985619" w:rsidRPr="00B76A3B" w:rsidTr="00014C4C">
        <w:tc>
          <w:tcPr>
            <w:tcW w:w="1951" w:type="dxa"/>
          </w:tcPr>
          <w:p w:rsidR="00985619" w:rsidRPr="00B76A3B" w:rsidRDefault="00985619" w:rsidP="00014C4C">
            <w:pPr>
              <w:contextualSpacing/>
              <w:jc w:val="both"/>
              <w:rPr>
                <w:rFonts w:cs="Times New Roman"/>
                <w:szCs w:val="28"/>
              </w:rPr>
            </w:pPr>
            <w:r w:rsidRPr="00B76A3B">
              <w:rPr>
                <w:rFonts w:cs="Times New Roman"/>
                <w:szCs w:val="28"/>
              </w:rPr>
              <w:t>США</w:t>
            </w:r>
          </w:p>
        </w:tc>
        <w:tc>
          <w:tcPr>
            <w:tcW w:w="7544" w:type="dxa"/>
          </w:tcPr>
          <w:p w:rsidR="00985619" w:rsidRPr="00B76A3B" w:rsidRDefault="00985619" w:rsidP="00014C4C">
            <w:pPr>
              <w:contextualSpacing/>
              <w:jc w:val="both"/>
              <w:rPr>
                <w:rFonts w:cs="Times New Roman"/>
                <w:szCs w:val="28"/>
              </w:rPr>
            </w:pPr>
            <w:r w:rsidRPr="00B76A3B">
              <w:rPr>
                <w:rFonts w:cs="Times New Roman"/>
                <w:szCs w:val="28"/>
              </w:rPr>
              <w:t>Соединенные Штаты Америки</w:t>
            </w:r>
          </w:p>
        </w:tc>
      </w:tr>
      <w:tr w:rsidR="00985619" w:rsidRPr="00B76A3B" w:rsidTr="00014C4C">
        <w:tc>
          <w:tcPr>
            <w:tcW w:w="1951" w:type="dxa"/>
          </w:tcPr>
          <w:p w:rsidR="00985619" w:rsidRPr="00B76A3B" w:rsidRDefault="00985619" w:rsidP="00014C4C">
            <w:pPr>
              <w:contextualSpacing/>
              <w:jc w:val="both"/>
              <w:rPr>
                <w:rFonts w:cs="Times New Roman"/>
                <w:szCs w:val="28"/>
              </w:rPr>
            </w:pPr>
            <w:r w:rsidRPr="00B76A3B">
              <w:rPr>
                <w:rFonts w:cs="Times New Roman"/>
                <w:szCs w:val="28"/>
              </w:rPr>
              <w:t>ВВП</w:t>
            </w:r>
          </w:p>
        </w:tc>
        <w:tc>
          <w:tcPr>
            <w:tcW w:w="7544" w:type="dxa"/>
          </w:tcPr>
          <w:p w:rsidR="00985619" w:rsidRPr="00B76A3B" w:rsidRDefault="00985619" w:rsidP="00014C4C">
            <w:pPr>
              <w:contextualSpacing/>
              <w:jc w:val="both"/>
              <w:rPr>
                <w:rFonts w:cs="Times New Roman"/>
                <w:szCs w:val="28"/>
              </w:rPr>
            </w:pPr>
            <w:r w:rsidRPr="00B76A3B">
              <w:rPr>
                <w:rFonts w:cs="Times New Roman"/>
                <w:szCs w:val="28"/>
              </w:rPr>
              <w:t>Валовый внутренний продукт</w:t>
            </w:r>
          </w:p>
        </w:tc>
      </w:tr>
      <w:tr w:rsidR="00985619" w:rsidRPr="00B76A3B" w:rsidTr="00014C4C">
        <w:tc>
          <w:tcPr>
            <w:tcW w:w="1951" w:type="dxa"/>
          </w:tcPr>
          <w:p w:rsidR="00985619" w:rsidRPr="00B76A3B" w:rsidRDefault="00985619" w:rsidP="00014C4C">
            <w:pPr>
              <w:contextualSpacing/>
              <w:jc w:val="both"/>
              <w:rPr>
                <w:rFonts w:cs="Times New Roman"/>
                <w:szCs w:val="28"/>
              </w:rPr>
            </w:pPr>
            <w:r w:rsidRPr="00B76A3B">
              <w:rPr>
                <w:rFonts w:cs="Times New Roman"/>
                <w:szCs w:val="28"/>
              </w:rPr>
              <w:t>ИМН</w:t>
            </w:r>
          </w:p>
        </w:tc>
        <w:tc>
          <w:tcPr>
            <w:tcW w:w="7544" w:type="dxa"/>
          </w:tcPr>
          <w:p w:rsidR="00985619" w:rsidRPr="00B76A3B" w:rsidRDefault="00985619" w:rsidP="00014C4C">
            <w:pPr>
              <w:contextualSpacing/>
              <w:jc w:val="both"/>
              <w:rPr>
                <w:rFonts w:cs="Times New Roman"/>
                <w:szCs w:val="28"/>
              </w:rPr>
            </w:pPr>
            <w:r>
              <w:rPr>
                <w:rFonts w:cs="Times New Roman"/>
                <w:szCs w:val="28"/>
              </w:rPr>
              <w:t>Изделия медицинского назначения</w:t>
            </w:r>
          </w:p>
        </w:tc>
      </w:tr>
      <w:tr w:rsidR="00985619" w:rsidRPr="00B76A3B" w:rsidTr="00014C4C">
        <w:tc>
          <w:tcPr>
            <w:tcW w:w="1951" w:type="dxa"/>
          </w:tcPr>
          <w:p w:rsidR="00985619" w:rsidRPr="00B76A3B" w:rsidRDefault="00985619" w:rsidP="00014C4C">
            <w:pPr>
              <w:contextualSpacing/>
              <w:jc w:val="both"/>
              <w:rPr>
                <w:rFonts w:cs="Times New Roman"/>
                <w:szCs w:val="28"/>
              </w:rPr>
            </w:pPr>
            <w:r w:rsidRPr="00B76A3B">
              <w:rPr>
                <w:rFonts w:cs="Times New Roman"/>
                <w:szCs w:val="28"/>
              </w:rPr>
              <w:t>МЗ РК</w:t>
            </w:r>
          </w:p>
        </w:tc>
        <w:tc>
          <w:tcPr>
            <w:tcW w:w="7544" w:type="dxa"/>
          </w:tcPr>
          <w:p w:rsidR="00985619" w:rsidRPr="00B76A3B" w:rsidRDefault="00985619" w:rsidP="00014C4C">
            <w:pPr>
              <w:contextualSpacing/>
              <w:jc w:val="both"/>
              <w:rPr>
                <w:rFonts w:cs="Times New Roman"/>
                <w:szCs w:val="28"/>
              </w:rPr>
            </w:pPr>
            <w:r w:rsidRPr="00B76A3B">
              <w:rPr>
                <w:rFonts w:cs="Times New Roman"/>
                <w:szCs w:val="28"/>
              </w:rPr>
              <w:t>Министерство здравоохранения Республики Казахстан</w:t>
            </w:r>
          </w:p>
        </w:tc>
      </w:tr>
      <w:tr w:rsidR="00985619" w:rsidRPr="00B76A3B" w:rsidTr="00014C4C">
        <w:tc>
          <w:tcPr>
            <w:tcW w:w="1951" w:type="dxa"/>
          </w:tcPr>
          <w:p w:rsidR="00985619" w:rsidRPr="00B76A3B" w:rsidRDefault="00985619" w:rsidP="00014C4C">
            <w:pPr>
              <w:contextualSpacing/>
              <w:jc w:val="both"/>
              <w:rPr>
                <w:rFonts w:cs="Times New Roman"/>
                <w:szCs w:val="28"/>
              </w:rPr>
            </w:pPr>
            <w:r w:rsidRPr="00B76A3B">
              <w:rPr>
                <w:rFonts w:cs="Times New Roman"/>
                <w:szCs w:val="28"/>
              </w:rPr>
              <w:t>ЦЭЗ</w:t>
            </w:r>
          </w:p>
        </w:tc>
        <w:tc>
          <w:tcPr>
            <w:tcW w:w="7544" w:type="dxa"/>
          </w:tcPr>
          <w:p w:rsidR="00985619" w:rsidRPr="00B76A3B" w:rsidRDefault="00985619" w:rsidP="00014C4C">
            <w:pPr>
              <w:contextualSpacing/>
              <w:jc w:val="both"/>
              <w:rPr>
                <w:rFonts w:cs="Times New Roman"/>
                <w:szCs w:val="28"/>
              </w:rPr>
            </w:pPr>
            <w:r w:rsidRPr="00B76A3B">
              <w:rPr>
                <w:rFonts w:cs="Times New Roman"/>
                <w:szCs w:val="28"/>
              </w:rPr>
              <w:t>Центр экономики здравоохранения</w:t>
            </w:r>
          </w:p>
        </w:tc>
      </w:tr>
      <w:tr w:rsidR="00985619" w:rsidRPr="00B76A3B" w:rsidTr="00014C4C">
        <w:tc>
          <w:tcPr>
            <w:tcW w:w="1951" w:type="dxa"/>
          </w:tcPr>
          <w:p w:rsidR="00985619" w:rsidRPr="00B76A3B" w:rsidRDefault="00985619" w:rsidP="00014C4C">
            <w:pPr>
              <w:contextualSpacing/>
              <w:jc w:val="both"/>
              <w:rPr>
                <w:rFonts w:cs="Times New Roman"/>
                <w:szCs w:val="28"/>
              </w:rPr>
            </w:pPr>
            <w:r w:rsidRPr="00B76A3B">
              <w:rPr>
                <w:rFonts w:cs="Times New Roman"/>
                <w:szCs w:val="28"/>
              </w:rPr>
              <w:t>РЦРЗ</w:t>
            </w:r>
          </w:p>
        </w:tc>
        <w:tc>
          <w:tcPr>
            <w:tcW w:w="7544" w:type="dxa"/>
          </w:tcPr>
          <w:p w:rsidR="00985619" w:rsidRPr="00B76A3B" w:rsidRDefault="00985619" w:rsidP="00014C4C">
            <w:pPr>
              <w:contextualSpacing/>
              <w:jc w:val="both"/>
              <w:rPr>
                <w:rFonts w:cs="Times New Roman"/>
                <w:szCs w:val="28"/>
              </w:rPr>
            </w:pPr>
            <w:r w:rsidRPr="00B76A3B">
              <w:rPr>
                <w:rFonts w:cs="Times New Roman"/>
                <w:szCs w:val="28"/>
              </w:rPr>
              <w:t>Республиканский центр развития здравоохранения</w:t>
            </w:r>
          </w:p>
        </w:tc>
      </w:tr>
    </w:tbl>
    <w:tbl>
      <w:tblPr>
        <w:tblW w:w="0" w:type="auto"/>
        <w:tblLook w:val="04A0" w:firstRow="1" w:lastRow="0" w:firstColumn="1" w:lastColumn="0" w:noHBand="0" w:noVBand="1"/>
      </w:tblPr>
      <w:tblGrid>
        <w:gridCol w:w="1928"/>
        <w:gridCol w:w="7427"/>
      </w:tblGrid>
      <w:tr w:rsidR="00985619" w:rsidRPr="00B76A3B" w:rsidTr="00014C4C">
        <w:tc>
          <w:tcPr>
            <w:tcW w:w="1951" w:type="dxa"/>
          </w:tcPr>
          <w:p w:rsidR="00985619" w:rsidRPr="00B76A3B" w:rsidRDefault="00985619" w:rsidP="00014C4C">
            <w:pPr>
              <w:spacing w:after="0" w:line="240" w:lineRule="auto"/>
              <w:contextualSpacing/>
              <w:jc w:val="both"/>
              <w:rPr>
                <w:rFonts w:cs="Times New Roman"/>
                <w:szCs w:val="28"/>
                <w:lang w:val="en-US"/>
              </w:rPr>
            </w:pPr>
            <w:r w:rsidRPr="00B76A3B">
              <w:rPr>
                <w:rFonts w:cs="Times New Roman"/>
                <w:szCs w:val="28"/>
                <w:lang w:val="en-US"/>
              </w:rPr>
              <w:t>OPM</w:t>
            </w:r>
          </w:p>
        </w:tc>
        <w:tc>
          <w:tcPr>
            <w:tcW w:w="7544" w:type="dxa"/>
          </w:tcPr>
          <w:p w:rsidR="00985619" w:rsidRPr="00B76A3B" w:rsidRDefault="00985619" w:rsidP="00014C4C">
            <w:pPr>
              <w:pStyle w:val="Default"/>
              <w:contextualSpacing/>
              <w:jc w:val="both"/>
              <w:rPr>
                <w:color w:val="auto"/>
                <w:sz w:val="28"/>
                <w:szCs w:val="28"/>
              </w:rPr>
            </w:pPr>
            <w:r w:rsidRPr="00B76A3B">
              <w:rPr>
                <w:color w:val="auto"/>
                <w:sz w:val="28"/>
                <w:szCs w:val="28"/>
              </w:rPr>
              <w:t>Oxford Policy Management</w:t>
            </w:r>
          </w:p>
        </w:tc>
      </w:tr>
    </w:tbl>
    <w:p w:rsidR="00985619" w:rsidRPr="0084551E" w:rsidRDefault="00985619" w:rsidP="00985619">
      <w:pPr>
        <w:spacing w:after="0" w:line="240" w:lineRule="auto"/>
        <w:contextualSpacing/>
        <w:jc w:val="both"/>
        <w:rPr>
          <w:rFonts w:cs="Times New Roman"/>
          <w:szCs w:val="28"/>
          <w:highlight w:val="yellow"/>
        </w:rPr>
      </w:pPr>
    </w:p>
    <w:p w:rsidR="00985619" w:rsidRPr="0084551E" w:rsidRDefault="00985619" w:rsidP="00985619">
      <w:pPr>
        <w:spacing w:after="0" w:line="240" w:lineRule="auto"/>
        <w:ind w:firstLine="709"/>
        <w:contextualSpacing/>
        <w:jc w:val="both"/>
        <w:rPr>
          <w:rFonts w:cs="Times New Roman"/>
          <w:szCs w:val="28"/>
          <w:highlight w:val="yellow"/>
        </w:rPr>
      </w:pPr>
    </w:p>
    <w:p w:rsidR="00985619" w:rsidRPr="0084551E" w:rsidRDefault="00985619" w:rsidP="00985619">
      <w:pPr>
        <w:spacing w:after="0" w:line="240" w:lineRule="auto"/>
        <w:ind w:firstLine="709"/>
        <w:contextualSpacing/>
        <w:jc w:val="both"/>
        <w:rPr>
          <w:rFonts w:cs="Times New Roman"/>
          <w:szCs w:val="28"/>
          <w:highlight w:val="yellow"/>
        </w:rPr>
      </w:pPr>
    </w:p>
    <w:p w:rsidR="00985619" w:rsidRDefault="00985619" w:rsidP="00985619">
      <w:pPr>
        <w:spacing w:after="0" w:line="240" w:lineRule="auto"/>
        <w:ind w:firstLine="709"/>
        <w:contextualSpacing/>
        <w:jc w:val="both"/>
        <w:rPr>
          <w:rFonts w:cs="Times New Roman"/>
          <w:szCs w:val="28"/>
          <w:highlight w:val="yellow"/>
        </w:rPr>
      </w:pPr>
    </w:p>
    <w:p w:rsidR="00985619" w:rsidRDefault="00985619" w:rsidP="00985619">
      <w:pPr>
        <w:spacing w:after="0" w:line="240" w:lineRule="auto"/>
        <w:ind w:firstLine="709"/>
        <w:contextualSpacing/>
        <w:jc w:val="both"/>
        <w:rPr>
          <w:rFonts w:cs="Times New Roman"/>
          <w:szCs w:val="28"/>
          <w:highlight w:val="yellow"/>
        </w:rPr>
      </w:pPr>
    </w:p>
    <w:p w:rsidR="00985619" w:rsidRDefault="00985619" w:rsidP="00985619">
      <w:pPr>
        <w:spacing w:after="0" w:line="240" w:lineRule="auto"/>
        <w:ind w:firstLine="709"/>
        <w:contextualSpacing/>
        <w:jc w:val="both"/>
        <w:rPr>
          <w:rFonts w:cs="Times New Roman"/>
          <w:szCs w:val="28"/>
          <w:highlight w:val="yellow"/>
        </w:rPr>
      </w:pPr>
    </w:p>
    <w:p w:rsidR="00985619" w:rsidRDefault="00985619" w:rsidP="00985619">
      <w:pPr>
        <w:spacing w:after="0" w:line="240" w:lineRule="auto"/>
        <w:ind w:firstLine="709"/>
        <w:contextualSpacing/>
        <w:jc w:val="both"/>
        <w:rPr>
          <w:rFonts w:cs="Times New Roman"/>
          <w:szCs w:val="28"/>
          <w:highlight w:val="yellow"/>
        </w:rPr>
      </w:pPr>
    </w:p>
    <w:p w:rsidR="00985619" w:rsidRDefault="00985619" w:rsidP="00985619">
      <w:pPr>
        <w:spacing w:after="0" w:line="240" w:lineRule="auto"/>
        <w:ind w:firstLine="709"/>
        <w:contextualSpacing/>
        <w:jc w:val="both"/>
        <w:rPr>
          <w:rFonts w:cs="Times New Roman"/>
          <w:szCs w:val="28"/>
          <w:highlight w:val="yellow"/>
        </w:rPr>
      </w:pPr>
    </w:p>
    <w:p w:rsidR="00985619" w:rsidRDefault="00985619" w:rsidP="00985619">
      <w:pPr>
        <w:spacing w:after="0" w:line="240" w:lineRule="auto"/>
        <w:ind w:firstLine="709"/>
        <w:contextualSpacing/>
        <w:jc w:val="both"/>
        <w:rPr>
          <w:rFonts w:cs="Times New Roman"/>
          <w:szCs w:val="28"/>
          <w:highlight w:val="yellow"/>
        </w:rPr>
      </w:pPr>
    </w:p>
    <w:p w:rsidR="00985619" w:rsidRDefault="00985619" w:rsidP="00985619">
      <w:pPr>
        <w:spacing w:after="0" w:line="240" w:lineRule="auto"/>
        <w:ind w:firstLine="709"/>
        <w:contextualSpacing/>
        <w:jc w:val="both"/>
        <w:rPr>
          <w:rFonts w:cs="Times New Roman"/>
          <w:szCs w:val="28"/>
          <w:highlight w:val="yellow"/>
        </w:rPr>
      </w:pPr>
    </w:p>
    <w:p w:rsidR="00985619" w:rsidRDefault="00985619" w:rsidP="00985619">
      <w:pPr>
        <w:spacing w:after="0" w:line="240" w:lineRule="auto"/>
        <w:ind w:firstLine="709"/>
        <w:contextualSpacing/>
        <w:jc w:val="both"/>
        <w:rPr>
          <w:rFonts w:cs="Times New Roman"/>
          <w:szCs w:val="28"/>
          <w:highlight w:val="yellow"/>
        </w:rPr>
      </w:pPr>
    </w:p>
    <w:p w:rsidR="00985619" w:rsidRDefault="00985619" w:rsidP="00985619">
      <w:pPr>
        <w:spacing w:after="0" w:line="240" w:lineRule="auto"/>
        <w:ind w:firstLine="709"/>
        <w:contextualSpacing/>
        <w:jc w:val="both"/>
        <w:rPr>
          <w:rFonts w:cs="Times New Roman"/>
          <w:szCs w:val="28"/>
          <w:highlight w:val="yellow"/>
        </w:rPr>
      </w:pPr>
    </w:p>
    <w:p w:rsidR="00985619" w:rsidRDefault="00985619" w:rsidP="00985619">
      <w:pPr>
        <w:spacing w:after="0" w:line="240" w:lineRule="auto"/>
        <w:ind w:firstLine="709"/>
        <w:contextualSpacing/>
        <w:jc w:val="both"/>
        <w:rPr>
          <w:rFonts w:cs="Times New Roman"/>
          <w:szCs w:val="28"/>
          <w:highlight w:val="yellow"/>
        </w:rPr>
      </w:pPr>
    </w:p>
    <w:p w:rsidR="00985619" w:rsidRDefault="00985619" w:rsidP="00985619">
      <w:pPr>
        <w:jc w:val="both"/>
        <w:rPr>
          <w:b/>
        </w:rPr>
      </w:pPr>
    </w:p>
    <w:p w:rsidR="00985619" w:rsidRDefault="00985619" w:rsidP="00985619">
      <w:pPr>
        <w:jc w:val="both"/>
      </w:pPr>
    </w:p>
    <w:p w:rsidR="00985619" w:rsidRDefault="00985619" w:rsidP="00985619">
      <w:pPr>
        <w:jc w:val="both"/>
      </w:pPr>
    </w:p>
    <w:p w:rsidR="00985619" w:rsidRDefault="00985619" w:rsidP="00985619">
      <w:pPr>
        <w:jc w:val="both"/>
      </w:pPr>
    </w:p>
    <w:p w:rsidR="00985619" w:rsidRDefault="00985619" w:rsidP="00985619">
      <w:pPr>
        <w:jc w:val="both"/>
      </w:pPr>
    </w:p>
    <w:p w:rsidR="00985619" w:rsidRDefault="00985619" w:rsidP="00985619">
      <w:pPr>
        <w:jc w:val="both"/>
      </w:pPr>
    </w:p>
    <w:p w:rsidR="00985619" w:rsidRDefault="00985619" w:rsidP="00985619">
      <w:pPr>
        <w:jc w:val="both"/>
      </w:pPr>
    </w:p>
    <w:p w:rsidR="00985619" w:rsidRDefault="00985619" w:rsidP="00985619">
      <w:pPr>
        <w:jc w:val="both"/>
      </w:pPr>
    </w:p>
    <w:p w:rsidR="00985619" w:rsidRDefault="00985619" w:rsidP="00985619">
      <w:pPr>
        <w:jc w:val="both"/>
      </w:pPr>
    </w:p>
    <w:p w:rsidR="00985619" w:rsidRDefault="00985619" w:rsidP="00985619">
      <w:pPr>
        <w:jc w:val="both"/>
      </w:pPr>
    </w:p>
    <w:p w:rsidR="00985619" w:rsidRDefault="00985619" w:rsidP="00985619">
      <w:pPr>
        <w:jc w:val="both"/>
      </w:pPr>
    </w:p>
    <w:p w:rsidR="00985619" w:rsidRDefault="00985619" w:rsidP="00985619">
      <w:pPr>
        <w:jc w:val="both"/>
      </w:pPr>
    </w:p>
    <w:p w:rsidR="00985619" w:rsidRPr="007772FA" w:rsidRDefault="00985619" w:rsidP="00985619">
      <w:pPr>
        <w:pStyle w:val="1"/>
        <w:spacing w:after="240" w:line="240" w:lineRule="auto"/>
        <w:ind w:firstLine="567"/>
        <w:jc w:val="both"/>
        <w:rPr>
          <w:rFonts w:cs="Times New Roman"/>
          <w:color w:val="4F81BD" w:themeColor="accent1"/>
        </w:rPr>
      </w:pPr>
      <w:bookmarkStart w:id="4" w:name="_Toc445720139"/>
      <w:bookmarkStart w:id="5" w:name="_Toc518904374"/>
      <w:r w:rsidRPr="00A65BB3">
        <w:rPr>
          <w:rFonts w:cs="Times New Roman"/>
          <w:color w:val="4F81BD" w:themeColor="accent1"/>
        </w:rPr>
        <w:lastRenderedPageBreak/>
        <w:t>Введение</w:t>
      </w:r>
      <w:bookmarkEnd w:id="4"/>
      <w:bookmarkEnd w:id="5"/>
    </w:p>
    <w:p w:rsidR="00985619" w:rsidRPr="00C254A4" w:rsidRDefault="00985619" w:rsidP="00985619">
      <w:pPr>
        <w:spacing w:after="0" w:line="288" w:lineRule="auto"/>
        <w:ind w:firstLine="709"/>
        <w:jc w:val="both"/>
        <w:rPr>
          <w:rFonts w:cs="Times New Roman"/>
          <w:szCs w:val="28"/>
        </w:rPr>
      </w:pPr>
      <w:r w:rsidRPr="00C254A4">
        <w:rPr>
          <w:rFonts w:cs="Times New Roman"/>
          <w:szCs w:val="28"/>
        </w:rPr>
        <w:t>Особенностью, сопровождающей развитие любой экономической системы, является наличие инфляции. Как проявление макроэкономической нестабильности она представляет собой проблему, требующую пристального внимания. При определенных значениях инфляция способна стимулировать экономический рост, а при значениях, превышающих допустимые пределы, - негативно влиять на ра</w:t>
      </w:r>
      <w:r>
        <w:rPr>
          <w:rFonts w:cs="Times New Roman"/>
          <w:szCs w:val="28"/>
        </w:rPr>
        <w:t>звитие экономических процессов.</w:t>
      </w:r>
    </w:p>
    <w:p w:rsidR="00985619" w:rsidRDefault="00985619" w:rsidP="00985619">
      <w:pPr>
        <w:spacing w:after="0" w:line="288" w:lineRule="auto"/>
        <w:ind w:firstLine="709"/>
        <w:jc w:val="both"/>
        <w:rPr>
          <w:rFonts w:cs="Times New Roman"/>
          <w:szCs w:val="28"/>
        </w:rPr>
      </w:pPr>
      <w:r w:rsidRPr="00C254A4">
        <w:rPr>
          <w:rFonts w:cs="Times New Roman"/>
          <w:szCs w:val="28"/>
        </w:rPr>
        <w:t xml:space="preserve">Процесс повышения общего уровня цен увеличивает волатильность показателей экономического роста и относительных цен, приводит к перераспределению богатства, усилению неравенства доходов </w:t>
      </w:r>
      <w:r>
        <w:rPr>
          <w:rFonts w:cs="Times New Roman"/>
          <w:szCs w:val="28"/>
        </w:rPr>
        <w:t xml:space="preserve">и в целом способствует значительному удорожанию жизни населения.  </w:t>
      </w:r>
    </w:p>
    <w:p w:rsidR="00985619" w:rsidRDefault="00985619" w:rsidP="00985619">
      <w:pPr>
        <w:spacing w:after="0" w:line="288" w:lineRule="auto"/>
        <w:ind w:firstLine="709"/>
        <w:jc w:val="both"/>
        <w:rPr>
          <w:rFonts w:cs="Times New Roman"/>
          <w:szCs w:val="28"/>
        </w:rPr>
      </w:pPr>
      <w:r>
        <w:rPr>
          <w:rFonts w:cs="Times New Roman"/>
          <w:szCs w:val="28"/>
        </w:rPr>
        <w:t>Оценка общего уровня цен с методологической точки зрения является одним из тех аспектов, где необходимое строгое соблюдение принципа сопоставимости, в виду важности данного показателя для оценки экономической ситуации в стране в целом. Однако, это не исключает наличия и использования локальными аналитическими институтами и соответствующими ведомствами дополнительных инструментов для анализа инфляционных процессов в отраслях экономики.</w:t>
      </w:r>
    </w:p>
    <w:p w:rsidR="00985619" w:rsidRDefault="00985619" w:rsidP="00985619">
      <w:pPr>
        <w:spacing w:after="0" w:line="288" w:lineRule="auto"/>
        <w:ind w:firstLine="709"/>
        <w:jc w:val="both"/>
        <w:rPr>
          <w:rFonts w:cs="Times New Roman"/>
          <w:szCs w:val="28"/>
        </w:rPr>
      </w:pPr>
      <w:r>
        <w:rPr>
          <w:rFonts w:cs="Times New Roman"/>
          <w:szCs w:val="28"/>
        </w:rPr>
        <w:t>Следовательно, целью данной методики является формирование и обоснование объективной необходимости в применении комплексного подхода к оценке медицинской инфляции, а также возможности использования передовых методов оценки уровня цен для условий казахстанской экономики.</w:t>
      </w:r>
    </w:p>
    <w:p w:rsidR="00985619" w:rsidRDefault="00985619" w:rsidP="00985619">
      <w:pPr>
        <w:ind w:firstLine="709"/>
        <w:jc w:val="both"/>
        <w:rPr>
          <w:rFonts w:cs="Times New Roman"/>
          <w:szCs w:val="28"/>
        </w:rPr>
      </w:pPr>
    </w:p>
    <w:p w:rsidR="00985619" w:rsidRDefault="00985619" w:rsidP="00985619">
      <w:pPr>
        <w:ind w:firstLine="709"/>
        <w:jc w:val="both"/>
        <w:rPr>
          <w:rFonts w:cs="Times New Roman"/>
          <w:szCs w:val="28"/>
        </w:rPr>
      </w:pPr>
    </w:p>
    <w:p w:rsidR="00985619" w:rsidRDefault="00985619" w:rsidP="00985619">
      <w:pPr>
        <w:ind w:firstLine="709"/>
        <w:jc w:val="both"/>
        <w:rPr>
          <w:rFonts w:cs="Times New Roman"/>
          <w:szCs w:val="28"/>
        </w:rPr>
      </w:pPr>
    </w:p>
    <w:p w:rsidR="00985619" w:rsidRDefault="00985619" w:rsidP="00985619">
      <w:pPr>
        <w:ind w:firstLine="709"/>
        <w:jc w:val="both"/>
        <w:rPr>
          <w:rFonts w:cs="Times New Roman"/>
          <w:szCs w:val="28"/>
        </w:rPr>
      </w:pPr>
    </w:p>
    <w:p w:rsidR="00985619" w:rsidRDefault="00985619" w:rsidP="00985619">
      <w:pPr>
        <w:ind w:firstLine="709"/>
        <w:jc w:val="both"/>
        <w:rPr>
          <w:rFonts w:cs="Times New Roman"/>
          <w:szCs w:val="28"/>
        </w:rPr>
      </w:pPr>
    </w:p>
    <w:p w:rsidR="00985619" w:rsidRDefault="00985619" w:rsidP="00985619">
      <w:pPr>
        <w:ind w:firstLine="709"/>
        <w:jc w:val="both"/>
        <w:rPr>
          <w:rFonts w:cs="Times New Roman"/>
          <w:szCs w:val="28"/>
        </w:rPr>
      </w:pPr>
    </w:p>
    <w:p w:rsidR="00985619" w:rsidRDefault="00985619" w:rsidP="00985619">
      <w:pPr>
        <w:ind w:firstLine="709"/>
        <w:jc w:val="both"/>
        <w:rPr>
          <w:rFonts w:cs="Times New Roman"/>
          <w:szCs w:val="28"/>
        </w:rPr>
      </w:pPr>
    </w:p>
    <w:p w:rsidR="00985619" w:rsidRDefault="00985619" w:rsidP="00985619">
      <w:pPr>
        <w:ind w:firstLine="709"/>
        <w:jc w:val="both"/>
        <w:rPr>
          <w:rFonts w:cs="Times New Roman"/>
          <w:szCs w:val="28"/>
        </w:rPr>
      </w:pPr>
    </w:p>
    <w:p w:rsidR="00985619" w:rsidRDefault="00985619" w:rsidP="00985619">
      <w:pPr>
        <w:pStyle w:val="2"/>
        <w:rPr>
          <w:rFonts w:ascii="Times New Roman" w:eastAsiaTheme="minorHAnsi" w:hAnsi="Times New Roman" w:cs="Times New Roman"/>
          <w:b w:val="0"/>
          <w:bCs w:val="0"/>
          <w:color w:val="auto"/>
          <w:sz w:val="28"/>
          <w:szCs w:val="28"/>
        </w:rPr>
      </w:pPr>
      <w:bookmarkStart w:id="6" w:name="_Toc518904375"/>
      <w:r>
        <w:rPr>
          <w:rFonts w:ascii="Times New Roman" w:eastAsiaTheme="minorHAnsi" w:hAnsi="Times New Roman" w:cs="Times New Roman"/>
          <w:b w:val="0"/>
          <w:bCs w:val="0"/>
          <w:color w:val="auto"/>
          <w:sz w:val="28"/>
          <w:szCs w:val="28"/>
        </w:rPr>
        <w:br w:type="page"/>
      </w:r>
    </w:p>
    <w:p w:rsidR="00985619" w:rsidRDefault="00985619" w:rsidP="00985619">
      <w:pPr>
        <w:pStyle w:val="2"/>
        <w:ind w:firstLine="709"/>
      </w:pPr>
      <w:r w:rsidRPr="00FE190E">
        <w:lastRenderedPageBreak/>
        <w:t>Передовой опыт оценки уровня медицинской инфляции</w:t>
      </w:r>
      <w:bookmarkEnd w:id="6"/>
    </w:p>
    <w:p w:rsidR="00985619" w:rsidRPr="00002A2A" w:rsidRDefault="00985619" w:rsidP="00985619">
      <w:pPr>
        <w:rPr>
          <w:sz w:val="16"/>
        </w:rPr>
      </w:pPr>
    </w:p>
    <w:p w:rsidR="00985619" w:rsidRPr="00B76A3B" w:rsidRDefault="00985619" w:rsidP="00985619">
      <w:pPr>
        <w:spacing w:after="0" w:line="240" w:lineRule="auto"/>
        <w:ind w:firstLine="709"/>
        <w:jc w:val="both"/>
        <w:rPr>
          <w:rFonts w:cs="Times New Roman"/>
          <w:szCs w:val="28"/>
        </w:rPr>
      </w:pPr>
      <w:r w:rsidRPr="00B76A3B">
        <w:rPr>
          <w:rFonts w:cs="Times New Roman"/>
          <w:szCs w:val="28"/>
        </w:rPr>
        <w:tab/>
        <w:t xml:space="preserve">К числу острейших проблем современной экономической теории относится вопрос  адекватного измерения инфляции в условиях технологических, структурных и институциональных изменений. Рассматривая методологические рекомендации и указания, используемые при расчете ИПЦ невозможно не отметить в качестве основной проблемы расчета - искажение уровня и динамики цен на товары и услуги.  И хотя указанный недостаток объективен в силу сложности расчета ИПЦ, тем не менее, это не умаляет тех негативных последствий, который несет за собой «ценовое искажение»: невозможность адекватного анализа и прогноза ценовых процессов в экономике, а также пересмотр минимальных социальных гарантий населению.  Так же в качестве «ключевого недостатка» ИПЦ отмечают недоучет качественного разнообразия товаров, и возникающий, как следствие товарного разнообразия и различий в цене эффекта замещения. </w:t>
      </w:r>
    </w:p>
    <w:p w:rsidR="00985619" w:rsidRPr="00B76A3B" w:rsidRDefault="00985619" w:rsidP="00985619">
      <w:pPr>
        <w:spacing w:after="0" w:line="240" w:lineRule="auto"/>
        <w:ind w:firstLine="709"/>
        <w:jc w:val="both"/>
        <w:rPr>
          <w:rFonts w:cs="Times New Roman"/>
          <w:szCs w:val="28"/>
        </w:rPr>
      </w:pPr>
      <w:r w:rsidRPr="00B76A3B">
        <w:rPr>
          <w:rFonts w:cs="Times New Roman"/>
          <w:szCs w:val="28"/>
        </w:rPr>
        <w:t xml:space="preserve">Помимо вышеуказанного, вероятность возникновения искажений возникает уже на этапе отбора населенных пунктов, поскольку в выборку включены исключительно крупные, средние города и города районного значения.  </w:t>
      </w:r>
      <w:r w:rsidRPr="00B76A3B">
        <w:rPr>
          <w:rFonts w:cs="Times New Roman"/>
          <w:i/>
          <w:szCs w:val="28"/>
        </w:rPr>
        <w:t>Для целей расчета медицинской инфляции подобная система сбора данных создает определенные проблемы с отслеживанием влияния цен на ряд медицинских товаров и услуг именно для сельского населения, не имеющего постоянный и бесперебойный доступ к некоторым видам  медицинских услуг и медикаментов. Для данной категории населения имеет место фактор транспортных издержек: как при доставке медикаментов в населенный пункт, так и при их самостоятельном выезде для получения необходимой медицинской услуги.</w:t>
      </w:r>
    </w:p>
    <w:p w:rsidR="00985619" w:rsidRPr="00B76A3B" w:rsidRDefault="00985619" w:rsidP="00985619">
      <w:pPr>
        <w:spacing w:after="0" w:line="240" w:lineRule="auto"/>
        <w:ind w:firstLine="709"/>
        <w:jc w:val="both"/>
        <w:rPr>
          <w:rFonts w:cs="Times New Roman"/>
          <w:szCs w:val="28"/>
        </w:rPr>
      </w:pPr>
      <w:r w:rsidRPr="00B76A3B">
        <w:rPr>
          <w:rFonts w:cs="Times New Roman"/>
          <w:szCs w:val="28"/>
        </w:rPr>
        <w:t xml:space="preserve">Также следует отметить, что рассчитывая ИПЦ для здравоохранения, необходим учет и пересмотр потребительского набора благ, включаемого в индекс, поскольку в нем отсутствует отображение товарного разнообразия и качественного обновления. Ряд теоретических и научных исследований показали, что в случаях изменения качества товаров возникают эффекты, завышающие ИПЦ. Предполагается, что качественная разнородность одних и тех же товаров выражается в соответствующей разнице в цене. Появление новых товаров по более высокой цене означает плату потребителя за возросшее качество, а это, по мнению исследователей, не есть инфляция. В реальности же цена, напротив, может снизиться. Следовательно, если не оценить эффект качества при расчетах ИПЦ, его оценка будет завышенной. </w:t>
      </w:r>
    </w:p>
    <w:p w:rsidR="00985619" w:rsidRPr="00B76A3B" w:rsidRDefault="00985619" w:rsidP="00985619">
      <w:pPr>
        <w:spacing w:after="0" w:line="240" w:lineRule="auto"/>
        <w:ind w:firstLine="709"/>
        <w:jc w:val="both"/>
        <w:rPr>
          <w:rFonts w:cs="Times New Roman"/>
          <w:szCs w:val="28"/>
        </w:rPr>
      </w:pPr>
      <w:r w:rsidRPr="00B76A3B">
        <w:rPr>
          <w:rFonts w:cs="Times New Roman"/>
          <w:szCs w:val="28"/>
        </w:rPr>
        <w:t xml:space="preserve">Проблема абстрагирования от индивидуального характера потребления возникает за счет методики расчета ИПЦ. Расчет ИПЦ представляет собой поэтапное агрегирование, которое абстрагирует конечный показатель сводного индекса цен (см. главу 1).  Используемая методика усредняет структуру потребления, нивелируя особенности потребления различных домохозяйств, в то время как для каждого потребителя система важности товаров индивидуальна. Каждый потребитель формирует свою персональную </w:t>
      </w:r>
      <w:r w:rsidRPr="00B76A3B">
        <w:rPr>
          <w:rFonts w:cs="Times New Roman"/>
          <w:szCs w:val="28"/>
        </w:rPr>
        <w:lastRenderedPageBreak/>
        <w:t>потребительскую корзину, отличающуюся индивидуальным набором товаров и услуг, ассортиментом и качеством товаров одного назначения и ценовым уровнем потребляемых товаров. Особенно эти различия проявляются при потреблении продуктов питания и непродовольственных товаров и услуг (куда напрямую относятся медикаменты и медицинские услуги), в меньшей степени – при потреблении жилищных услуг. Основной проблемой используемой методики сбора информации о товарных ценах и методологии расчета ИПЦ является экстраполяция принципа неизменности, однородности объекта потребления (набора потребительских товаров) на субъект потребления (потребителя), его экстраполяция во времени и в пространстве. В гипотетической экономике, представляемой для расчета ИПЦ, производятся только однородные товары, обедненные фиксированным ассортиментом и качеством продукции, исключающие возможность дифференциации и качественного совершенствования продукции. При расчете ИПЦ делаются экономические допущения, которые неприемлемы при современном уровне технологических и структурных преобразований в экономике. Вопреки индивидуальному характеру потребления индекс потребительских цен характеризует движение цен как некоего единого целого. Это оправдывает использование ИПЦ на макроэкономическом уровне. Единый агрегированный показатель роста цен является ориентиром для осуществления государственной финансовой и денежно-кредитной политики. Но с такими изъянами ИПЦ не может стать основой для пересчета бюджетных расходов, индексации социальных выплат.</w:t>
      </w:r>
    </w:p>
    <w:p w:rsidR="00985619" w:rsidRPr="00B76A3B" w:rsidRDefault="00985619" w:rsidP="00985619">
      <w:pPr>
        <w:spacing w:after="0" w:line="240" w:lineRule="auto"/>
        <w:ind w:firstLine="709"/>
        <w:jc w:val="both"/>
        <w:rPr>
          <w:rFonts w:cs="Times New Roman"/>
          <w:szCs w:val="28"/>
        </w:rPr>
      </w:pPr>
      <w:r w:rsidRPr="00B76A3B">
        <w:rPr>
          <w:rFonts w:cs="Times New Roman"/>
          <w:szCs w:val="28"/>
        </w:rPr>
        <w:t>Таким образом, становится очевидным тот факт, что помимо расчета ИПЦ, используемого в том числе для международных сопоставлений, необходим расчет более индивидуализированного индекса, позволяющего рассчитывать его как для населения в целом, так и для различных его групп, классифицированных по доходам, поло-возрастному составу, отношению у урбанизации (городское/сельское население). В качестве примера подобной методологии возможно предложить расчет индекса расходов на личное потребление (</w:t>
      </w:r>
      <w:r w:rsidRPr="00B76A3B">
        <w:rPr>
          <w:rFonts w:cs="Times New Roman"/>
          <w:szCs w:val="28"/>
          <w:lang w:val="en-US"/>
        </w:rPr>
        <w:t>PCE</w:t>
      </w:r>
      <w:r w:rsidRPr="00B76A3B">
        <w:rPr>
          <w:rFonts w:cs="Times New Roman"/>
          <w:szCs w:val="28"/>
        </w:rPr>
        <w:t xml:space="preserve"> – </w:t>
      </w:r>
      <w:r w:rsidRPr="00B76A3B">
        <w:rPr>
          <w:rFonts w:cs="Times New Roman"/>
          <w:szCs w:val="28"/>
          <w:lang w:val="en-US"/>
        </w:rPr>
        <w:t>PersonalConsumptionExpenditures</w:t>
      </w:r>
      <w:r w:rsidRPr="00B76A3B">
        <w:rPr>
          <w:rFonts w:cs="Times New Roman"/>
          <w:szCs w:val="28"/>
        </w:rPr>
        <w:t xml:space="preserve">), рассмотренный в виде сравнительного анализа к ИПЦ в главе 1. </w:t>
      </w:r>
    </w:p>
    <w:p w:rsidR="00985619" w:rsidRPr="00B76A3B" w:rsidRDefault="00985619" w:rsidP="00985619">
      <w:pPr>
        <w:spacing w:after="0" w:line="240" w:lineRule="auto"/>
        <w:ind w:firstLine="709"/>
        <w:jc w:val="both"/>
        <w:rPr>
          <w:rFonts w:cs="Times New Roman"/>
          <w:szCs w:val="28"/>
        </w:rPr>
      </w:pPr>
      <w:r w:rsidRPr="00B76A3B">
        <w:rPr>
          <w:rFonts w:cs="Times New Roman"/>
          <w:b/>
          <w:szCs w:val="28"/>
        </w:rPr>
        <w:t>Core PCE Price Index (базовый ценовой индекс расходов на личное потребление)</w:t>
      </w:r>
      <w:r w:rsidRPr="00B76A3B">
        <w:rPr>
          <w:rFonts w:cs="Times New Roman"/>
          <w:szCs w:val="28"/>
        </w:rPr>
        <w:t>- индекс цен личных потребительских расходов, который измеряет уровень инфляции, ощущаемой потребителями, приобретающими товары и услуги, за исключением продуктов питания и энергоносителей. PCE  отличается от ИПЦ тем, что он учитывает только те товары и услуги, которые нацелены на личное потребление. Продукты питания и энергетика составляют примерно 25% от PCE, но они сильно подвержены сезонным колебаниям и могут искажать общую картину. PCE при исключении этих волатильных компонентов считается более точным индикатором потребительской инфляции. Следует также отметить, что именно PCE принимается во внимание Федеральной резервной системой США при принятии решений по годовым процентным ставкам.</w:t>
      </w:r>
    </w:p>
    <w:p w:rsidR="00985619" w:rsidRPr="00B76A3B" w:rsidRDefault="00985619" w:rsidP="00985619">
      <w:pPr>
        <w:spacing w:after="0" w:line="240" w:lineRule="auto"/>
        <w:ind w:firstLine="709"/>
        <w:jc w:val="both"/>
        <w:rPr>
          <w:rFonts w:cs="Times New Roman"/>
          <w:szCs w:val="28"/>
        </w:rPr>
      </w:pPr>
      <w:r w:rsidRPr="00B76A3B">
        <w:rPr>
          <w:rFonts w:cs="Times New Roman"/>
          <w:szCs w:val="28"/>
        </w:rPr>
        <w:lastRenderedPageBreak/>
        <w:t>Ключевые отличия от ИПЦ представлены таблицей 4.</w:t>
      </w:r>
    </w:p>
    <w:p w:rsidR="00985619" w:rsidRPr="00B76A3B" w:rsidRDefault="00985619" w:rsidP="00985619">
      <w:pPr>
        <w:spacing w:after="0" w:line="240" w:lineRule="auto"/>
        <w:ind w:firstLine="709"/>
        <w:jc w:val="both"/>
        <w:rPr>
          <w:rFonts w:cs="Times New Roman"/>
          <w:b/>
          <w:szCs w:val="28"/>
        </w:rPr>
      </w:pPr>
    </w:p>
    <w:p w:rsidR="00985619" w:rsidRDefault="00985619" w:rsidP="00985619">
      <w:pPr>
        <w:spacing w:after="0" w:line="240" w:lineRule="auto"/>
        <w:ind w:firstLine="709"/>
        <w:jc w:val="both"/>
        <w:rPr>
          <w:rFonts w:cs="Times New Roman"/>
          <w:b/>
          <w:szCs w:val="28"/>
        </w:rPr>
      </w:pPr>
      <w:r w:rsidRPr="00B76A3B">
        <w:rPr>
          <w:rFonts w:cs="Times New Roman"/>
          <w:b/>
          <w:szCs w:val="28"/>
        </w:rPr>
        <w:t>Таблица 4– Сравнительный анализ методологических различий между PCE и ИПЦ</w:t>
      </w:r>
    </w:p>
    <w:p w:rsidR="00985619" w:rsidRPr="00B76A3B" w:rsidRDefault="00985619" w:rsidP="00985619">
      <w:pPr>
        <w:spacing w:after="0" w:line="240" w:lineRule="auto"/>
        <w:ind w:firstLine="709"/>
        <w:jc w:val="both"/>
        <w:rPr>
          <w:rFonts w:cs="Times New Roman"/>
          <w:b/>
          <w:szCs w:val="28"/>
        </w:rPr>
      </w:pPr>
    </w:p>
    <w:tbl>
      <w:tblPr>
        <w:tblStyle w:val="2-11"/>
        <w:tblW w:w="8933" w:type="dxa"/>
        <w:jc w:val="center"/>
        <w:tblLook w:val="0620" w:firstRow="1" w:lastRow="0" w:firstColumn="0" w:lastColumn="0" w:noHBand="1" w:noVBand="1"/>
      </w:tblPr>
      <w:tblGrid>
        <w:gridCol w:w="4539"/>
        <w:gridCol w:w="4394"/>
      </w:tblGrid>
      <w:tr w:rsidR="00985619" w:rsidRPr="00B76A3B" w:rsidTr="00014C4C">
        <w:trPr>
          <w:cnfStyle w:val="100000000000" w:firstRow="1" w:lastRow="0" w:firstColumn="0" w:lastColumn="0" w:oddVBand="0" w:evenVBand="0" w:oddHBand="0" w:evenHBand="0" w:firstRowFirstColumn="0" w:firstRowLastColumn="0" w:lastRowFirstColumn="0" w:lastRowLastColumn="0"/>
          <w:trHeight w:val="720"/>
          <w:jc w:val="center"/>
        </w:trPr>
        <w:tc>
          <w:tcPr>
            <w:tcW w:w="4539" w:type="dxa"/>
            <w:vAlign w:val="center"/>
            <w:hideMark/>
          </w:tcPr>
          <w:p w:rsidR="00985619" w:rsidRPr="00B76A3B" w:rsidRDefault="00985619" w:rsidP="00014C4C">
            <w:pPr>
              <w:ind w:firstLine="709"/>
              <w:jc w:val="both"/>
              <w:rPr>
                <w:rFonts w:cs="Times New Roman"/>
                <w:szCs w:val="28"/>
              </w:rPr>
            </w:pPr>
            <w:r w:rsidRPr="00B76A3B">
              <w:rPr>
                <w:rFonts w:cs="Times New Roman"/>
                <w:szCs w:val="28"/>
                <w:lang w:val="en-US"/>
              </w:rPr>
              <w:t xml:space="preserve">PCE </w:t>
            </w:r>
          </w:p>
        </w:tc>
        <w:tc>
          <w:tcPr>
            <w:tcW w:w="4394" w:type="dxa"/>
            <w:vAlign w:val="center"/>
            <w:hideMark/>
          </w:tcPr>
          <w:p w:rsidR="00985619" w:rsidRPr="00B76A3B" w:rsidRDefault="00985619" w:rsidP="00014C4C">
            <w:pPr>
              <w:ind w:firstLine="709"/>
              <w:jc w:val="both"/>
              <w:rPr>
                <w:rFonts w:cs="Times New Roman"/>
                <w:szCs w:val="28"/>
              </w:rPr>
            </w:pPr>
            <w:r w:rsidRPr="00B76A3B">
              <w:rPr>
                <w:rFonts w:cs="Times New Roman"/>
                <w:szCs w:val="28"/>
              </w:rPr>
              <w:t>ИПЦ</w:t>
            </w:r>
          </w:p>
        </w:tc>
      </w:tr>
      <w:tr w:rsidR="00985619" w:rsidRPr="00B76A3B" w:rsidTr="00014C4C">
        <w:trPr>
          <w:trHeight w:val="2252"/>
          <w:jc w:val="center"/>
        </w:trPr>
        <w:tc>
          <w:tcPr>
            <w:tcW w:w="4539" w:type="dxa"/>
            <w:hideMark/>
          </w:tcPr>
          <w:p w:rsidR="00985619" w:rsidRPr="00B76A3B" w:rsidRDefault="00985619" w:rsidP="00014C4C">
            <w:pPr>
              <w:ind w:firstLine="709"/>
              <w:jc w:val="both"/>
              <w:rPr>
                <w:rFonts w:cs="Times New Roman"/>
                <w:szCs w:val="28"/>
              </w:rPr>
            </w:pPr>
            <w:r w:rsidRPr="00B76A3B">
              <w:rPr>
                <w:rFonts w:cs="Times New Roman"/>
                <w:szCs w:val="28"/>
              </w:rPr>
              <w:t xml:space="preserve">Отражает стоимость расходов домашних хозяйств на личное потребление в соответствии с индивидуальными потребностями. [Рассматривая на примере США, </w:t>
            </w:r>
            <w:r w:rsidRPr="00B76A3B">
              <w:rPr>
                <w:rFonts w:cs="Times New Roman"/>
                <w:szCs w:val="28"/>
                <w:lang w:val="en-US"/>
              </w:rPr>
              <w:t>PCE</w:t>
            </w:r>
            <w:r w:rsidRPr="00B76A3B">
              <w:rPr>
                <w:rFonts w:cs="Times New Roman"/>
                <w:szCs w:val="28"/>
              </w:rPr>
              <w:t xml:space="preserve"> составляет около 70% ВВП, поэтому данный индекс охватывает значительную часть экономических транзакций в США]</w:t>
            </w:r>
          </w:p>
        </w:tc>
        <w:tc>
          <w:tcPr>
            <w:tcW w:w="4394" w:type="dxa"/>
            <w:hideMark/>
          </w:tcPr>
          <w:p w:rsidR="00985619" w:rsidRPr="00B76A3B" w:rsidRDefault="00985619" w:rsidP="00014C4C">
            <w:pPr>
              <w:ind w:firstLine="709"/>
              <w:jc w:val="both"/>
              <w:rPr>
                <w:rFonts w:cs="Times New Roman"/>
                <w:szCs w:val="28"/>
              </w:rPr>
            </w:pPr>
            <w:r w:rsidRPr="00B76A3B">
              <w:rPr>
                <w:rFonts w:cs="Times New Roman"/>
                <w:szCs w:val="28"/>
              </w:rPr>
              <w:t>Отражает стоимость наличных расходов, производимых потребителями.</w:t>
            </w:r>
          </w:p>
        </w:tc>
      </w:tr>
      <w:tr w:rsidR="00985619" w:rsidRPr="00B76A3B" w:rsidTr="00014C4C">
        <w:trPr>
          <w:trHeight w:val="1430"/>
          <w:jc w:val="center"/>
        </w:trPr>
        <w:tc>
          <w:tcPr>
            <w:tcW w:w="4539" w:type="dxa"/>
            <w:hideMark/>
          </w:tcPr>
          <w:p w:rsidR="00985619" w:rsidRPr="00B76A3B" w:rsidRDefault="00985619" w:rsidP="00014C4C">
            <w:pPr>
              <w:ind w:firstLine="709"/>
              <w:jc w:val="both"/>
              <w:rPr>
                <w:rFonts w:cs="Times New Roman"/>
                <w:szCs w:val="28"/>
              </w:rPr>
            </w:pPr>
            <w:r w:rsidRPr="00B76A3B">
              <w:rPr>
                <w:rFonts w:cs="Times New Roman"/>
                <w:szCs w:val="28"/>
              </w:rPr>
              <w:t>Состав расходов изменяется от квартала к кварталу [состав также меняется от месяца к месяцу]</w:t>
            </w:r>
          </w:p>
        </w:tc>
        <w:tc>
          <w:tcPr>
            <w:tcW w:w="4394" w:type="dxa"/>
            <w:hideMark/>
          </w:tcPr>
          <w:p w:rsidR="00985619" w:rsidRPr="00B76A3B" w:rsidRDefault="00985619" w:rsidP="00014C4C">
            <w:pPr>
              <w:ind w:firstLine="709"/>
              <w:jc w:val="both"/>
              <w:rPr>
                <w:rFonts w:cs="Times New Roman"/>
                <w:szCs w:val="28"/>
              </w:rPr>
            </w:pPr>
            <w:r w:rsidRPr="00B76A3B">
              <w:rPr>
                <w:rFonts w:cs="Times New Roman"/>
                <w:szCs w:val="28"/>
              </w:rPr>
              <w:t>Состав корзины на рынке остается фиксированным (обновляется каждые два года).</w:t>
            </w:r>
          </w:p>
        </w:tc>
      </w:tr>
      <w:tr w:rsidR="00985619" w:rsidRPr="00B76A3B" w:rsidTr="00014C4C">
        <w:trPr>
          <w:trHeight w:val="1057"/>
          <w:jc w:val="center"/>
        </w:trPr>
        <w:tc>
          <w:tcPr>
            <w:tcW w:w="4539" w:type="dxa"/>
            <w:hideMark/>
          </w:tcPr>
          <w:p w:rsidR="00985619" w:rsidRPr="00B76A3B" w:rsidRDefault="00985619" w:rsidP="00014C4C">
            <w:pPr>
              <w:ind w:firstLine="709"/>
              <w:jc w:val="both"/>
              <w:rPr>
                <w:rFonts w:cs="Times New Roman"/>
                <w:szCs w:val="28"/>
              </w:rPr>
            </w:pPr>
            <w:r w:rsidRPr="00B76A3B">
              <w:rPr>
                <w:rFonts w:cs="Times New Roman"/>
                <w:szCs w:val="28"/>
              </w:rPr>
              <w:t>Производится с использованием цепной формулы индекса Фишера.</w:t>
            </w:r>
          </w:p>
        </w:tc>
        <w:tc>
          <w:tcPr>
            <w:tcW w:w="4394" w:type="dxa"/>
            <w:hideMark/>
          </w:tcPr>
          <w:p w:rsidR="00985619" w:rsidRPr="00B76A3B" w:rsidRDefault="00985619" w:rsidP="00014C4C">
            <w:pPr>
              <w:ind w:firstLine="709"/>
              <w:jc w:val="both"/>
              <w:rPr>
                <w:rFonts w:cs="Times New Roman"/>
                <w:szCs w:val="28"/>
              </w:rPr>
            </w:pPr>
            <w:r w:rsidRPr="00B76A3B">
              <w:rPr>
                <w:rFonts w:cs="Times New Roman"/>
                <w:szCs w:val="28"/>
              </w:rPr>
              <w:t>Производится с использованием формулы индекса типа Ласпейреса.</w:t>
            </w:r>
          </w:p>
        </w:tc>
      </w:tr>
      <w:tr w:rsidR="00985619" w:rsidRPr="00B76A3B" w:rsidTr="00014C4C">
        <w:trPr>
          <w:trHeight w:val="1304"/>
          <w:jc w:val="center"/>
        </w:trPr>
        <w:tc>
          <w:tcPr>
            <w:tcW w:w="4539" w:type="dxa"/>
            <w:hideMark/>
          </w:tcPr>
          <w:p w:rsidR="00985619" w:rsidRPr="00B76A3B" w:rsidRDefault="00985619" w:rsidP="00014C4C">
            <w:pPr>
              <w:ind w:firstLine="709"/>
              <w:jc w:val="both"/>
              <w:rPr>
                <w:rFonts w:cs="Times New Roman"/>
                <w:szCs w:val="28"/>
              </w:rPr>
            </w:pPr>
            <w:r w:rsidRPr="00B76A3B">
              <w:rPr>
                <w:rFonts w:cs="Times New Roman"/>
                <w:szCs w:val="28"/>
              </w:rPr>
              <w:t>Веса взяты из бизнес-опросов.</w:t>
            </w:r>
          </w:p>
          <w:p w:rsidR="00985619" w:rsidRPr="00B76A3B" w:rsidRDefault="00985619" w:rsidP="00014C4C">
            <w:pPr>
              <w:ind w:firstLine="709"/>
              <w:jc w:val="both"/>
              <w:rPr>
                <w:rFonts w:cs="Times New Roman"/>
                <w:szCs w:val="28"/>
              </w:rPr>
            </w:pPr>
            <w:r w:rsidRPr="00B76A3B">
              <w:rPr>
                <w:rFonts w:cs="Times New Roman"/>
                <w:szCs w:val="28"/>
              </w:rPr>
              <w:t>Например, ежемесячное исследование розничной торговли, опрос по квартальным услугам.</w:t>
            </w:r>
          </w:p>
        </w:tc>
        <w:tc>
          <w:tcPr>
            <w:tcW w:w="4394" w:type="dxa"/>
            <w:hideMark/>
          </w:tcPr>
          <w:p w:rsidR="00985619" w:rsidRPr="00B76A3B" w:rsidRDefault="00985619" w:rsidP="00014C4C">
            <w:pPr>
              <w:ind w:firstLine="709"/>
              <w:jc w:val="both"/>
              <w:rPr>
                <w:rFonts w:cs="Times New Roman"/>
                <w:szCs w:val="28"/>
              </w:rPr>
            </w:pPr>
            <w:r w:rsidRPr="00B76A3B">
              <w:rPr>
                <w:rFonts w:cs="Times New Roman"/>
                <w:szCs w:val="28"/>
              </w:rPr>
              <w:t>Веса получены из обследований домашних хозяйств.</w:t>
            </w:r>
          </w:p>
        </w:tc>
      </w:tr>
    </w:tbl>
    <w:p w:rsidR="00985619" w:rsidRPr="00B76A3B" w:rsidRDefault="00985619" w:rsidP="00985619">
      <w:pPr>
        <w:spacing w:after="0" w:line="240" w:lineRule="auto"/>
        <w:ind w:firstLine="709"/>
        <w:jc w:val="both"/>
        <w:rPr>
          <w:rFonts w:cs="Times New Roman"/>
          <w:i/>
          <w:szCs w:val="28"/>
        </w:rPr>
      </w:pPr>
      <w:r w:rsidRPr="00B76A3B">
        <w:rPr>
          <w:rFonts w:cs="Times New Roman"/>
          <w:i/>
          <w:szCs w:val="28"/>
        </w:rPr>
        <w:t>Источник: составлено авторами</w:t>
      </w:r>
    </w:p>
    <w:p w:rsidR="00985619" w:rsidRPr="00B76A3B" w:rsidRDefault="00985619" w:rsidP="00985619">
      <w:pPr>
        <w:spacing w:after="0" w:line="240" w:lineRule="auto"/>
        <w:ind w:firstLine="709"/>
        <w:jc w:val="both"/>
        <w:rPr>
          <w:rFonts w:cs="Times New Roman"/>
          <w:szCs w:val="28"/>
        </w:rPr>
      </w:pPr>
    </w:p>
    <w:p w:rsidR="00985619" w:rsidRPr="00B76A3B" w:rsidRDefault="00985619" w:rsidP="00985619">
      <w:pPr>
        <w:spacing w:after="0" w:line="240" w:lineRule="auto"/>
        <w:ind w:firstLine="709"/>
        <w:jc w:val="both"/>
        <w:rPr>
          <w:rFonts w:cs="Times New Roman"/>
          <w:szCs w:val="28"/>
        </w:rPr>
      </w:pPr>
      <w:r w:rsidRPr="00B76A3B">
        <w:rPr>
          <w:rFonts w:cs="Times New Roman"/>
          <w:szCs w:val="28"/>
        </w:rPr>
        <w:t>Из сравнительной таблицы следует, что индекс PCE является более индивидуализированным, основан на опросах бизнес-структур, и, с точки зрения статистики, основывается с применением «идеального» индекса Фишера. С точки зрения анализа медицинской инфляции, PCE значительно серьезнее реагирует на ценовые колебания в отрасли здравоохранения, поскольку имеет больший удельный вес отрасли, нежели ИПЦ (таблица 5).</w:t>
      </w:r>
    </w:p>
    <w:p w:rsidR="00985619" w:rsidRPr="00B76A3B" w:rsidRDefault="00985619" w:rsidP="00985619">
      <w:pPr>
        <w:spacing w:after="0" w:line="240" w:lineRule="auto"/>
        <w:ind w:firstLine="709"/>
        <w:jc w:val="both"/>
        <w:rPr>
          <w:rFonts w:cs="Times New Roman"/>
          <w:b/>
          <w:szCs w:val="28"/>
        </w:rPr>
      </w:pPr>
    </w:p>
    <w:p w:rsidR="00985619" w:rsidRPr="00B76A3B" w:rsidRDefault="00985619" w:rsidP="00985619">
      <w:pPr>
        <w:spacing w:after="0" w:line="240" w:lineRule="auto"/>
        <w:ind w:firstLine="709"/>
        <w:jc w:val="both"/>
        <w:rPr>
          <w:rFonts w:cs="Times New Roman"/>
          <w:b/>
          <w:szCs w:val="28"/>
        </w:rPr>
      </w:pPr>
    </w:p>
    <w:p w:rsidR="00985619" w:rsidRPr="00B76A3B" w:rsidRDefault="00985619" w:rsidP="00985619">
      <w:pPr>
        <w:spacing w:after="0" w:line="240" w:lineRule="auto"/>
        <w:ind w:firstLine="709"/>
        <w:jc w:val="both"/>
        <w:rPr>
          <w:rFonts w:cs="Times New Roman"/>
          <w:b/>
          <w:szCs w:val="28"/>
        </w:rPr>
      </w:pPr>
    </w:p>
    <w:p w:rsidR="00985619" w:rsidRDefault="00985619" w:rsidP="00985619">
      <w:pPr>
        <w:spacing w:after="0" w:line="240" w:lineRule="auto"/>
        <w:ind w:firstLine="709"/>
        <w:jc w:val="both"/>
        <w:rPr>
          <w:rFonts w:cs="Times New Roman"/>
          <w:b/>
          <w:szCs w:val="28"/>
        </w:rPr>
      </w:pPr>
    </w:p>
    <w:p w:rsidR="00985619" w:rsidRPr="00B76A3B" w:rsidRDefault="00985619" w:rsidP="00985619">
      <w:pPr>
        <w:spacing w:after="0" w:line="240" w:lineRule="auto"/>
        <w:ind w:firstLine="709"/>
        <w:jc w:val="both"/>
        <w:rPr>
          <w:rFonts w:cs="Times New Roman"/>
          <w:b/>
          <w:szCs w:val="28"/>
        </w:rPr>
      </w:pPr>
    </w:p>
    <w:p w:rsidR="00985619" w:rsidRPr="00B76A3B" w:rsidRDefault="00985619" w:rsidP="00985619">
      <w:pPr>
        <w:spacing w:after="0" w:line="240" w:lineRule="auto"/>
        <w:ind w:firstLine="709"/>
        <w:jc w:val="both"/>
        <w:rPr>
          <w:rFonts w:cs="Times New Roman"/>
          <w:b/>
          <w:szCs w:val="28"/>
        </w:rPr>
      </w:pPr>
      <w:r w:rsidRPr="00B76A3B">
        <w:rPr>
          <w:rFonts w:cs="Times New Roman"/>
          <w:b/>
          <w:szCs w:val="28"/>
        </w:rPr>
        <w:t>Таблица 5 – Сравнительная характеристика удельных весов различных категорий товаров и услуг в ценовых индексах (на примере США)</w:t>
      </w:r>
    </w:p>
    <w:p w:rsidR="00985619" w:rsidRPr="00B76A3B" w:rsidRDefault="00985619" w:rsidP="00985619">
      <w:pPr>
        <w:spacing w:after="0" w:line="240" w:lineRule="auto"/>
        <w:ind w:firstLine="709"/>
        <w:jc w:val="both"/>
        <w:rPr>
          <w:rFonts w:cs="Times New Roman"/>
          <w:b/>
          <w:szCs w:val="28"/>
        </w:rPr>
      </w:pPr>
    </w:p>
    <w:tbl>
      <w:tblPr>
        <w:tblStyle w:val="2-11"/>
        <w:tblW w:w="8366" w:type="dxa"/>
        <w:jc w:val="center"/>
        <w:tblLook w:val="0600" w:firstRow="0" w:lastRow="0" w:firstColumn="0" w:lastColumn="0" w:noHBand="1" w:noVBand="1"/>
      </w:tblPr>
      <w:tblGrid>
        <w:gridCol w:w="3121"/>
        <w:gridCol w:w="1843"/>
        <w:gridCol w:w="1701"/>
        <w:gridCol w:w="1701"/>
      </w:tblGrid>
      <w:tr w:rsidR="00985619" w:rsidRPr="00B76A3B" w:rsidTr="00014C4C">
        <w:trPr>
          <w:trHeight w:val="660"/>
          <w:jc w:val="center"/>
        </w:trPr>
        <w:tc>
          <w:tcPr>
            <w:tcW w:w="3121" w:type="dxa"/>
            <w:vMerge w:val="restart"/>
            <w:vAlign w:val="center"/>
            <w:hideMark/>
          </w:tcPr>
          <w:p w:rsidR="00985619" w:rsidRPr="00B76A3B" w:rsidRDefault="00985619" w:rsidP="00014C4C">
            <w:pPr>
              <w:jc w:val="both"/>
              <w:rPr>
                <w:rFonts w:cs="Times New Roman"/>
                <w:szCs w:val="28"/>
              </w:rPr>
            </w:pPr>
            <w:r w:rsidRPr="00B76A3B">
              <w:rPr>
                <w:rFonts w:cs="Times New Roman"/>
                <w:b/>
                <w:bCs/>
                <w:szCs w:val="28"/>
                <w:lang w:val="en-US"/>
              </w:rPr>
              <w:t>Категория расходов ИПЦ</w:t>
            </w:r>
          </w:p>
        </w:tc>
        <w:tc>
          <w:tcPr>
            <w:tcW w:w="5245" w:type="dxa"/>
            <w:gridSpan w:val="3"/>
            <w:vAlign w:val="center"/>
            <w:hideMark/>
          </w:tcPr>
          <w:p w:rsidR="00985619" w:rsidRPr="00B76A3B" w:rsidRDefault="00985619" w:rsidP="00014C4C">
            <w:pPr>
              <w:jc w:val="both"/>
              <w:rPr>
                <w:rFonts w:cs="Times New Roman"/>
                <w:szCs w:val="28"/>
              </w:rPr>
            </w:pPr>
            <w:r w:rsidRPr="00B76A3B">
              <w:rPr>
                <w:rFonts w:cs="Times New Roman"/>
                <w:b/>
                <w:bCs/>
                <w:szCs w:val="28"/>
              </w:rPr>
              <w:t>Декабрь 2017 год, США</w:t>
            </w:r>
          </w:p>
        </w:tc>
      </w:tr>
      <w:tr w:rsidR="00985619" w:rsidRPr="00B76A3B" w:rsidTr="00014C4C">
        <w:trPr>
          <w:trHeight w:val="379"/>
          <w:jc w:val="center"/>
        </w:trPr>
        <w:tc>
          <w:tcPr>
            <w:tcW w:w="3121" w:type="dxa"/>
            <w:vMerge/>
            <w:vAlign w:val="center"/>
            <w:hideMark/>
          </w:tcPr>
          <w:p w:rsidR="00985619" w:rsidRPr="00B76A3B" w:rsidRDefault="00985619" w:rsidP="00014C4C">
            <w:pPr>
              <w:jc w:val="both"/>
              <w:rPr>
                <w:rFonts w:cs="Times New Roman"/>
                <w:szCs w:val="28"/>
              </w:rPr>
            </w:pPr>
          </w:p>
        </w:tc>
        <w:tc>
          <w:tcPr>
            <w:tcW w:w="1843" w:type="dxa"/>
            <w:vAlign w:val="center"/>
            <w:hideMark/>
          </w:tcPr>
          <w:p w:rsidR="00985619" w:rsidRPr="00B76A3B" w:rsidRDefault="00985619" w:rsidP="00014C4C">
            <w:pPr>
              <w:jc w:val="both"/>
              <w:rPr>
                <w:rFonts w:cs="Times New Roman"/>
                <w:szCs w:val="28"/>
              </w:rPr>
            </w:pPr>
            <w:r w:rsidRPr="00B76A3B">
              <w:rPr>
                <w:rFonts w:cs="Times New Roman"/>
                <w:b/>
                <w:bCs/>
                <w:szCs w:val="28"/>
              </w:rPr>
              <w:t xml:space="preserve">Веса </w:t>
            </w:r>
            <w:r w:rsidRPr="00B76A3B">
              <w:rPr>
                <w:rFonts w:cs="Times New Roman"/>
                <w:b/>
                <w:bCs/>
                <w:szCs w:val="28"/>
                <w:lang w:val="en-US"/>
              </w:rPr>
              <w:t>PCE</w:t>
            </w:r>
          </w:p>
        </w:tc>
        <w:tc>
          <w:tcPr>
            <w:tcW w:w="1701" w:type="dxa"/>
            <w:vAlign w:val="center"/>
            <w:hideMark/>
          </w:tcPr>
          <w:p w:rsidR="00985619" w:rsidRPr="00B76A3B" w:rsidRDefault="00985619" w:rsidP="00014C4C">
            <w:pPr>
              <w:jc w:val="both"/>
              <w:rPr>
                <w:rFonts w:cs="Times New Roman"/>
                <w:szCs w:val="28"/>
              </w:rPr>
            </w:pPr>
            <w:r w:rsidRPr="00B76A3B">
              <w:rPr>
                <w:rFonts w:cs="Times New Roman"/>
                <w:b/>
                <w:bCs/>
                <w:szCs w:val="28"/>
              </w:rPr>
              <w:t xml:space="preserve">Веса </w:t>
            </w:r>
            <w:r w:rsidRPr="00B76A3B">
              <w:rPr>
                <w:rFonts w:cs="Times New Roman"/>
                <w:b/>
                <w:bCs/>
                <w:szCs w:val="28"/>
                <w:lang w:val="en-US"/>
              </w:rPr>
              <w:t>CPI</w:t>
            </w:r>
            <w:r w:rsidRPr="00B76A3B">
              <w:rPr>
                <w:rFonts w:cs="Times New Roman"/>
                <w:b/>
                <w:bCs/>
                <w:szCs w:val="28"/>
              </w:rPr>
              <w:t xml:space="preserve"> (ИПЦ)</w:t>
            </w:r>
          </w:p>
        </w:tc>
        <w:tc>
          <w:tcPr>
            <w:tcW w:w="1701" w:type="dxa"/>
            <w:vAlign w:val="center"/>
            <w:hideMark/>
          </w:tcPr>
          <w:p w:rsidR="00985619" w:rsidRPr="00B76A3B" w:rsidRDefault="00985619" w:rsidP="00014C4C">
            <w:pPr>
              <w:jc w:val="both"/>
              <w:rPr>
                <w:rFonts w:cs="Times New Roman"/>
                <w:szCs w:val="28"/>
              </w:rPr>
            </w:pPr>
            <w:r w:rsidRPr="00B76A3B">
              <w:rPr>
                <w:rFonts w:cs="Times New Roman"/>
                <w:b/>
                <w:bCs/>
                <w:szCs w:val="28"/>
                <w:lang w:val="en-US"/>
              </w:rPr>
              <w:t xml:space="preserve">PCE </w:t>
            </w:r>
            <w:r w:rsidRPr="00B76A3B">
              <w:rPr>
                <w:rFonts w:cs="Times New Roman"/>
                <w:b/>
                <w:bCs/>
                <w:szCs w:val="28"/>
              </w:rPr>
              <w:t>менее</w:t>
            </w:r>
            <w:r w:rsidRPr="00B76A3B">
              <w:rPr>
                <w:rFonts w:cs="Times New Roman"/>
                <w:b/>
                <w:bCs/>
                <w:szCs w:val="28"/>
                <w:lang w:val="en-US"/>
              </w:rPr>
              <w:t xml:space="preserve"> CPI</w:t>
            </w:r>
          </w:p>
        </w:tc>
      </w:tr>
      <w:tr w:rsidR="00985619" w:rsidRPr="00B76A3B" w:rsidTr="00014C4C">
        <w:trPr>
          <w:trHeight w:val="583"/>
          <w:jc w:val="center"/>
        </w:trPr>
        <w:tc>
          <w:tcPr>
            <w:tcW w:w="3121" w:type="dxa"/>
            <w:vAlign w:val="center"/>
            <w:hideMark/>
          </w:tcPr>
          <w:p w:rsidR="00985619" w:rsidRPr="00B76A3B" w:rsidRDefault="00985619" w:rsidP="00014C4C">
            <w:pPr>
              <w:jc w:val="both"/>
              <w:rPr>
                <w:rFonts w:cs="Times New Roman"/>
                <w:szCs w:val="28"/>
              </w:rPr>
            </w:pPr>
            <w:r w:rsidRPr="00B76A3B">
              <w:rPr>
                <w:rFonts w:cs="Times New Roman"/>
                <w:szCs w:val="28"/>
              </w:rPr>
              <w:t>Всего товаров и услуг</w:t>
            </w:r>
          </w:p>
        </w:tc>
        <w:tc>
          <w:tcPr>
            <w:tcW w:w="1843" w:type="dxa"/>
            <w:vAlign w:val="center"/>
            <w:hideMark/>
          </w:tcPr>
          <w:p w:rsidR="00985619" w:rsidRPr="00B76A3B" w:rsidRDefault="00985619" w:rsidP="00014C4C">
            <w:pPr>
              <w:jc w:val="both"/>
              <w:rPr>
                <w:rFonts w:cs="Times New Roman"/>
                <w:szCs w:val="28"/>
              </w:rPr>
            </w:pPr>
            <w:r w:rsidRPr="00B76A3B">
              <w:rPr>
                <w:rFonts w:cs="Times New Roman"/>
                <w:szCs w:val="28"/>
                <w:lang w:val="en-US"/>
              </w:rPr>
              <w:t>100.0</w:t>
            </w:r>
          </w:p>
        </w:tc>
        <w:tc>
          <w:tcPr>
            <w:tcW w:w="1701" w:type="dxa"/>
            <w:vAlign w:val="center"/>
            <w:hideMark/>
          </w:tcPr>
          <w:p w:rsidR="00985619" w:rsidRPr="00B76A3B" w:rsidRDefault="00985619" w:rsidP="00014C4C">
            <w:pPr>
              <w:jc w:val="both"/>
              <w:rPr>
                <w:rFonts w:cs="Times New Roman"/>
                <w:szCs w:val="28"/>
              </w:rPr>
            </w:pPr>
            <w:r w:rsidRPr="00B76A3B">
              <w:rPr>
                <w:rFonts w:cs="Times New Roman"/>
                <w:szCs w:val="28"/>
                <w:lang w:val="en-US"/>
              </w:rPr>
              <w:t>100.0</w:t>
            </w:r>
          </w:p>
        </w:tc>
        <w:tc>
          <w:tcPr>
            <w:tcW w:w="1701" w:type="dxa"/>
            <w:vAlign w:val="center"/>
            <w:hideMark/>
          </w:tcPr>
          <w:p w:rsidR="00985619" w:rsidRPr="00B76A3B" w:rsidRDefault="00985619" w:rsidP="00014C4C">
            <w:pPr>
              <w:jc w:val="both"/>
              <w:rPr>
                <w:rFonts w:cs="Times New Roman"/>
                <w:szCs w:val="28"/>
              </w:rPr>
            </w:pPr>
            <w:r w:rsidRPr="00B76A3B">
              <w:rPr>
                <w:rFonts w:cs="Times New Roman"/>
                <w:szCs w:val="28"/>
                <w:lang w:val="en-US"/>
              </w:rPr>
              <w:t>--</w:t>
            </w:r>
          </w:p>
        </w:tc>
      </w:tr>
      <w:tr w:rsidR="00985619" w:rsidRPr="00B76A3B" w:rsidTr="00014C4C">
        <w:trPr>
          <w:trHeight w:val="583"/>
          <w:jc w:val="center"/>
        </w:trPr>
        <w:tc>
          <w:tcPr>
            <w:tcW w:w="3121" w:type="dxa"/>
            <w:vAlign w:val="center"/>
            <w:hideMark/>
          </w:tcPr>
          <w:p w:rsidR="00985619" w:rsidRPr="00B76A3B" w:rsidRDefault="00985619" w:rsidP="00014C4C">
            <w:pPr>
              <w:jc w:val="both"/>
              <w:rPr>
                <w:rFonts w:cs="Times New Roman"/>
                <w:szCs w:val="28"/>
              </w:rPr>
            </w:pPr>
            <w:r w:rsidRPr="00B76A3B">
              <w:rPr>
                <w:rFonts w:cs="Times New Roman"/>
                <w:szCs w:val="28"/>
                <w:lang w:val="en-US"/>
              </w:rPr>
              <w:t>Еда и напитки</w:t>
            </w:r>
          </w:p>
        </w:tc>
        <w:tc>
          <w:tcPr>
            <w:tcW w:w="1843" w:type="dxa"/>
            <w:vAlign w:val="center"/>
            <w:hideMark/>
          </w:tcPr>
          <w:p w:rsidR="00985619" w:rsidRPr="00B76A3B" w:rsidRDefault="00985619" w:rsidP="00014C4C">
            <w:pPr>
              <w:jc w:val="both"/>
              <w:rPr>
                <w:rFonts w:cs="Times New Roman"/>
                <w:szCs w:val="28"/>
              </w:rPr>
            </w:pPr>
            <w:r w:rsidRPr="00B76A3B">
              <w:rPr>
                <w:rFonts w:cs="Times New Roman"/>
                <w:szCs w:val="28"/>
                <w:lang w:val="en-US"/>
              </w:rPr>
              <w:t>12.9</w:t>
            </w:r>
          </w:p>
        </w:tc>
        <w:tc>
          <w:tcPr>
            <w:tcW w:w="1701" w:type="dxa"/>
            <w:vAlign w:val="center"/>
            <w:hideMark/>
          </w:tcPr>
          <w:p w:rsidR="00985619" w:rsidRPr="00B76A3B" w:rsidRDefault="00985619" w:rsidP="00014C4C">
            <w:pPr>
              <w:jc w:val="both"/>
              <w:rPr>
                <w:rFonts w:cs="Times New Roman"/>
                <w:szCs w:val="28"/>
              </w:rPr>
            </w:pPr>
            <w:r w:rsidRPr="00B76A3B">
              <w:rPr>
                <w:rFonts w:cs="Times New Roman"/>
                <w:szCs w:val="28"/>
                <w:lang w:val="en-US"/>
              </w:rPr>
              <w:t>15.0</w:t>
            </w:r>
          </w:p>
        </w:tc>
        <w:tc>
          <w:tcPr>
            <w:tcW w:w="1701" w:type="dxa"/>
            <w:vAlign w:val="center"/>
            <w:hideMark/>
          </w:tcPr>
          <w:p w:rsidR="00985619" w:rsidRPr="00B76A3B" w:rsidRDefault="00985619" w:rsidP="00014C4C">
            <w:pPr>
              <w:jc w:val="both"/>
              <w:rPr>
                <w:rFonts w:cs="Times New Roman"/>
                <w:szCs w:val="28"/>
              </w:rPr>
            </w:pPr>
            <w:r w:rsidRPr="00B76A3B">
              <w:rPr>
                <w:rFonts w:cs="Times New Roman"/>
                <w:szCs w:val="28"/>
                <w:lang w:val="en-US"/>
              </w:rPr>
              <w:t>-2.1</w:t>
            </w:r>
          </w:p>
        </w:tc>
      </w:tr>
      <w:tr w:rsidR="00985619" w:rsidRPr="00B76A3B" w:rsidTr="00014C4C">
        <w:trPr>
          <w:trHeight w:val="660"/>
          <w:jc w:val="center"/>
        </w:trPr>
        <w:tc>
          <w:tcPr>
            <w:tcW w:w="3121" w:type="dxa"/>
            <w:vAlign w:val="center"/>
            <w:hideMark/>
          </w:tcPr>
          <w:p w:rsidR="00985619" w:rsidRPr="00B76A3B" w:rsidRDefault="00985619" w:rsidP="00014C4C">
            <w:pPr>
              <w:jc w:val="both"/>
              <w:rPr>
                <w:rFonts w:cs="Times New Roman"/>
                <w:szCs w:val="28"/>
              </w:rPr>
            </w:pPr>
            <w:r w:rsidRPr="00B76A3B">
              <w:rPr>
                <w:rFonts w:cs="Times New Roman"/>
                <w:b/>
                <w:bCs/>
                <w:szCs w:val="28"/>
              </w:rPr>
              <w:t>Жильё</w:t>
            </w:r>
          </w:p>
        </w:tc>
        <w:tc>
          <w:tcPr>
            <w:tcW w:w="1843" w:type="dxa"/>
            <w:vAlign w:val="center"/>
            <w:hideMark/>
          </w:tcPr>
          <w:p w:rsidR="00985619" w:rsidRPr="00B76A3B" w:rsidRDefault="00985619" w:rsidP="00014C4C">
            <w:pPr>
              <w:jc w:val="both"/>
              <w:rPr>
                <w:rFonts w:cs="Times New Roman"/>
                <w:szCs w:val="28"/>
              </w:rPr>
            </w:pPr>
            <w:r w:rsidRPr="00B76A3B">
              <w:rPr>
                <w:rFonts w:cs="Times New Roman"/>
                <w:szCs w:val="28"/>
                <w:lang w:val="en-US"/>
              </w:rPr>
              <w:t>23.6</w:t>
            </w:r>
          </w:p>
        </w:tc>
        <w:tc>
          <w:tcPr>
            <w:tcW w:w="1701" w:type="dxa"/>
            <w:vAlign w:val="center"/>
            <w:hideMark/>
          </w:tcPr>
          <w:p w:rsidR="00985619" w:rsidRPr="00B76A3B" w:rsidRDefault="00985619" w:rsidP="00014C4C">
            <w:pPr>
              <w:jc w:val="both"/>
              <w:rPr>
                <w:rFonts w:cs="Times New Roman"/>
                <w:szCs w:val="28"/>
              </w:rPr>
            </w:pPr>
            <w:r w:rsidRPr="00B76A3B">
              <w:rPr>
                <w:rFonts w:cs="Times New Roman"/>
                <w:szCs w:val="28"/>
                <w:lang w:val="en-US"/>
              </w:rPr>
              <w:t>42.2</w:t>
            </w:r>
          </w:p>
        </w:tc>
        <w:tc>
          <w:tcPr>
            <w:tcW w:w="1701" w:type="dxa"/>
            <w:vAlign w:val="center"/>
            <w:hideMark/>
          </w:tcPr>
          <w:p w:rsidR="00985619" w:rsidRPr="00B76A3B" w:rsidRDefault="00985619" w:rsidP="00014C4C">
            <w:pPr>
              <w:jc w:val="both"/>
              <w:rPr>
                <w:rFonts w:cs="Times New Roman"/>
                <w:szCs w:val="28"/>
              </w:rPr>
            </w:pPr>
            <w:r w:rsidRPr="00B76A3B">
              <w:rPr>
                <w:rFonts w:cs="Times New Roman"/>
                <w:b/>
                <w:bCs/>
                <w:szCs w:val="28"/>
                <w:lang w:val="en-US"/>
              </w:rPr>
              <w:t>-18.6</w:t>
            </w:r>
          </w:p>
        </w:tc>
      </w:tr>
      <w:tr w:rsidR="00985619" w:rsidRPr="00B76A3B" w:rsidTr="00014C4C">
        <w:trPr>
          <w:trHeight w:val="583"/>
          <w:jc w:val="center"/>
        </w:trPr>
        <w:tc>
          <w:tcPr>
            <w:tcW w:w="3121" w:type="dxa"/>
            <w:vAlign w:val="center"/>
            <w:hideMark/>
          </w:tcPr>
          <w:p w:rsidR="00985619" w:rsidRPr="00B76A3B" w:rsidRDefault="00985619" w:rsidP="00014C4C">
            <w:pPr>
              <w:jc w:val="both"/>
              <w:rPr>
                <w:rFonts w:cs="Times New Roman"/>
                <w:szCs w:val="28"/>
              </w:rPr>
            </w:pPr>
            <w:r w:rsidRPr="00B76A3B">
              <w:rPr>
                <w:rFonts w:cs="Times New Roman"/>
                <w:szCs w:val="28"/>
              </w:rPr>
              <w:t>Расходы на жильё</w:t>
            </w:r>
          </w:p>
        </w:tc>
        <w:tc>
          <w:tcPr>
            <w:tcW w:w="1843" w:type="dxa"/>
            <w:vAlign w:val="center"/>
            <w:hideMark/>
          </w:tcPr>
          <w:p w:rsidR="00985619" w:rsidRPr="00B76A3B" w:rsidRDefault="00985619" w:rsidP="00014C4C">
            <w:pPr>
              <w:jc w:val="both"/>
              <w:rPr>
                <w:rFonts w:cs="Times New Roman"/>
                <w:szCs w:val="28"/>
              </w:rPr>
            </w:pPr>
            <w:r w:rsidRPr="00B76A3B">
              <w:rPr>
                <w:rFonts w:cs="Times New Roman"/>
                <w:szCs w:val="28"/>
                <w:lang w:val="en-US"/>
              </w:rPr>
              <w:t>16.4</w:t>
            </w:r>
          </w:p>
        </w:tc>
        <w:tc>
          <w:tcPr>
            <w:tcW w:w="1701" w:type="dxa"/>
            <w:vAlign w:val="center"/>
            <w:hideMark/>
          </w:tcPr>
          <w:p w:rsidR="00985619" w:rsidRPr="00B76A3B" w:rsidRDefault="00985619" w:rsidP="00014C4C">
            <w:pPr>
              <w:jc w:val="both"/>
              <w:rPr>
                <w:rFonts w:cs="Times New Roman"/>
                <w:szCs w:val="28"/>
              </w:rPr>
            </w:pPr>
            <w:r w:rsidRPr="00B76A3B">
              <w:rPr>
                <w:rFonts w:cs="Times New Roman"/>
                <w:szCs w:val="28"/>
                <w:lang w:val="en-US"/>
              </w:rPr>
              <w:t>33.2</w:t>
            </w:r>
          </w:p>
        </w:tc>
        <w:tc>
          <w:tcPr>
            <w:tcW w:w="1701" w:type="dxa"/>
            <w:vAlign w:val="center"/>
            <w:hideMark/>
          </w:tcPr>
          <w:p w:rsidR="00985619" w:rsidRPr="00B76A3B" w:rsidRDefault="00985619" w:rsidP="00014C4C">
            <w:pPr>
              <w:jc w:val="both"/>
              <w:rPr>
                <w:rFonts w:cs="Times New Roman"/>
                <w:szCs w:val="28"/>
              </w:rPr>
            </w:pPr>
            <w:r w:rsidRPr="00B76A3B">
              <w:rPr>
                <w:rFonts w:cs="Times New Roman"/>
                <w:szCs w:val="28"/>
                <w:lang w:val="en-US"/>
              </w:rPr>
              <w:t>-16.8</w:t>
            </w:r>
          </w:p>
        </w:tc>
      </w:tr>
      <w:tr w:rsidR="00985619" w:rsidRPr="00B76A3B" w:rsidTr="00014C4C">
        <w:trPr>
          <w:trHeight w:val="583"/>
          <w:jc w:val="center"/>
        </w:trPr>
        <w:tc>
          <w:tcPr>
            <w:tcW w:w="3121" w:type="dxa"/>
            <w:vAlign w:val="center"/>
            <w:hideMark/>
          </w:tcPr>
          <w:p w:rsidR="00985619" w:rsidRPr="00B76A3B" w:rsidRDefault="00985619" w:rsidP="00014C4C">
            <w:pPr>
              <w:jc w:val="both"/>
              <w:rPr>
                <w:rFonts w:cs="Times New Roman"/>
                <w:szCs w:val="28"/>
              </w:rPr>
            </w:pPr>
            <w:r w:rsidRPr="00B76A3B">
              <w:rPr>
                <w:rFonts w:cs="Times New Roman"/>
                <w:szCs w:val="28"/>
              </w:rPr>
              <w:t>Другие</w:t>
            </w:r>
          </w:p>
        </w:tc>
        <w:tc>
          <w:tcPr>
            <w:tcW w:w="1843" w:type="dxa"/>
            <w:vAlign w:val="center"/>
            <w:hideMark/>
          </w:tcPr>
          <w:p w:rsidR="00985619" w:rsidRPr="00B76A3B" w:rsidRDefault="00985619" w:rsidP="00014C4C">
            <w:pPr>
              <w:jc w:val="both"/>
              <w:rPr>
                <w:rFonts w:cs="Times New Roman"/>
                <w:szCs w:val="28"/>
              </w:rPr>
            </w:pPr>
            <w:r w:rsidRPr="00B76A3B">
              <w:rPr>
                <w:rFonts w:cs="Times New Roman"/>
                <w:szCs w:val="28"/>
                <w:lang w:val="en-US"/>
              </w:rPr>
              <w:t>7.2</w:t>
            </w:r>
          </w:p>
        </w:tc>
        <w:tc>
          <w:tcPr>
            <w:tcW w:w="1701" w:type="dxa"/>
            <w:vAlign w:val="center"/>
            <w:hideMark/>
          </w:tcPr>
          <w:p w:rsidR="00985619" w:rsidRPr="00B76A3B" w:rsidRDefault="00985619" w:rsidP="00014C4C">
            <w:pPr>
              <w:jc w:val="both"/>
              <w:rPr>
                <w:rFonts w:cs="Times New Roman"/>
                <w:szCs w:val="28"/>
              </w:rPr>
            </w:pPr>
            <w:r w:rsidRPr="00B76A3B">
              <w:rPr>
                <w:rFonts w:cs="Times New Roman"/>
                <w:szCs w:val="28"/>
                <w:lang w:val="en-US"/>
              </w:rPr>
              <w:t>9.0</w:t>
            </w:r>
          </w:p>
        </w:tc>
        <w:tc>
          <w:tcPr>
            <w:tcW w:w="1701" w:type="dxa"/>
            <w:vAlign w:val="center"/>
            <w:hideMark/>
          </w:tcPr>
          <w:p w:rsidR="00985619" w:rsidRPr="00B76A3B" w:rsidRDefault="00985619" w:rsidP="00014C4C">
            <w:pPr>
              <w:jc w:val="both"/>
              <w:rPr>
                <w:rFonts w:cs="Times New Roman"/>
                <w:szCs w:val="28"/>
              </w:rPr>
            </w:pPr>
            <w:r w:rsidRPr="00B76A3B">
              <w:rPr>
                <w:rFonts w:cs="Times New Roman"/>
                <w:szCs w:val="28"/>
                <w:lang w:val="en-US"/>
              </w:rPr>
              <w:t>-1.8</w:t>
            </w:r>
          </w:p>
        </w:tc>
      </w:tr>
      <w:tr w:rsidR="00985619" w:rsidRPr="00B76A3B" w:rsidTr="00014C4C">
        <w:trPr>
          <w:trHeight w:val="583"/>
          <w:jc w:val="center"/>
        </w:trPr>
        <w:tc>
          <w:tcPr>
            <w:tcW w:w="3121" w:type="dxa"/>
            <w:vAlign w:val="center"/>
            <w:hideMark/>
          </w:tcPr>
          <w:p w:rsidR="00985619" w:rsidRPr="00B76A3B" w:rsidRDefault="00985619" w:rsidP="00014C4C">
            <w:pPr>
              <w:jc w:val="both"/>
              <w:rPr>
                <w:rFonts w:cs="Times New Roman"/>
                <w:szCs w:val="28"/>
              </w:rPr>
            </w:pPr>
            <w:r w:rsidRPr="00B76A3B">
              <w:rPr>
                <w:rFonts w:cs="Times New Roman"/>
                <w:szCs w:val="28"/>
              </w:rPr>
              <w:t>Одежда</w:t>
            </w:r>
          </w:p>
        </w:tc>
        <w:tc>
          <w:tcPr>
            <w:tcW w:w="1843" w:type="dxa"/>
            <w:vAlign w:val="center"/>
            <w:hideMark/>
          </w:tcPr>
          <w:p w:rsidR="00985619" w:rsidRPr="00B76A3B" w:rsidRDefault="00985619" w:rsidP="00014C4C">
            <w:pPr>
              <w:jc w:val="both"/>
              <w:rPr>
                <w:rFonts w:cs="Times New Roman"/>
                <w:szCs w:val="28"/>
              </w:rPr>
            </w:pPr>
            <w:r w:rsidRPr="00B76A3B">
              <w:rPr>
                <w:rFonts w:cs="Times New Roman"/>
                <w:szCs w:val="28"/>
                <w:lang w:val="en-US"/>
              </w:rPr>
              <w:t>3.8</w:t>
            </w:r>
          </w:p>
        </w:tc>
        <w:tc>
          <w:tcPr>
            <w:tcW w:w="1701" w:type="dxa"/>
            <w:vAlign w:val="center"/>
            <w:hideMark/>
          </w:tcPr>
          <w:p w:rsidR="00985619" w:rsidRPr="00B76A3B" w:rsidRDefault="00985619" w:rsidP="00014C4C">
            <w:pPr>
              <w:jc w:val="both"/>
              <w:rPr>
                <w:rFonts w:cs="Times New Roman"/>
                <w:szCs w:val="28"/>
              </w:rPr>
            </w:pPr>
            <w:r w:rsidRPr="00B76A3B">
              <w:rPr>
                <w:rFonts w:cs="Times New Roman"/>
                <w:szCs w:val="28"/>
                <w:lang w:val="en-US"/>
              </w:rPr>
              <w:t>3.1</w:t>
            </w:r>
          </w:p>
        </w:tc>
        <w:tc>
          <w:tcPr>
            <w:tcW w:w="1701" w:type="dxa"/>
            <w:vAlign w:val="center"/>
            <w:hideMark/>
          </w:tcPr>
          <w:p w:rsidR="00985619" w:rsidRPr="00B76A3B" w:rsidRDefault="00985619" w:rsidP="00014C4C">
            <w:pPr>
              <w:jc w:val="both"/>
              <w:rPr>
                <w:rFonts w:cs="Times New Roman"/>
                <w:szCs w:val="28"/>
              </w:rPr>
            </w:pPr>
            <w:r w:rsidRPr="00B76A3B">
              <w:rPr>
                <w:rFonts w:cs="Times New Roman"/>
                <w:szCs w:val="28"/>
                <w:lang w:val="en-US"/>
              </w:rPr>
              <w:t>0.7</w:t>
            </w:r>
          </w:p>
        </w:tc>
      </w:tr>
      <w:tr w:rsidR="00985619" w:rsidRPr="00B76A3B" w:rsidTr="00014C4C">
        <w:trPr>
          <w:trHeight w:val="583"/>
          <w:jc w:val="center"/>
        </w:trPr>
        <w:tc>
          <w:tcPr>
            <w:tcW w:w="3121" w:type="dxa"/>
            <w:tcBorders>
              <w:bottom w:val="single" w:sz="4" w:space="0" w:color="auto"/>
            </w:tcBorders>
            <w:vAlign w:val="center"/>
            <w:hideMark/>
          </w:tcPr>
          <w:p w:rsidR="00985619" w:rsidRPr="00B76A3B" w:rsidRDefault="00985619" w:rsidP="00014C4C">
            <w:pPr>
              <w:jc w:val="both"/>
              <w:rPr>
                <w:rFonts w:cs="Times New Roman"/>
                <w:szCs w:val="28"/>
              </w:rPr>
            </w:pPr>
            <w:r w:rsidRPr="00B76A3B">
              <w:rPr>
                <w:rFonts w:cs="Times New Roman"/>
                <w:szCs w:val="28"/>
              </w:rPr>
              <w:t>Транспорт</w:t>
            </w:r>
          </w:p>
        </w:tc>
        <w:tc>
          <w:tcPr>
            <w:tcW w:w="1843" w:type="dxa"/>
            <w:tcBorders>
              <w:bottom w:val="single" w:sz="4" w:space="0" w:color="auto"/>
            </w:tcBorders>
            <w:vAlign w:val="center"/>
            <w:hideMark/>
          </w:tcPr>
          <w:p w:rsidR="00985619" w:rsidRPr="00B76A3B" w:rsidRDefault="00985619" w:rsidP="00014C4C">
            <w:pPr>
              <w:jc w:val="both"/>
              <w:rPr>
                <w:rFonts w:cs="Times New Roman"/>
                <w:szCs w:val="28"/>
              </w:rPr>
            </w:pPr>
            <w:r w:rsidRPr="00B76A3B">
              <w:rPr>
                <w:rFonts w:cs="Times New Roman"/>
                <w:szCs w:val="28"/>
                <w:lang w:val="en-US"/>
              </w:rPr>
              <w:t>10.4</w:t>
            </w:r>
          </w:p>
        </w:tc>
        <w:tc>
          <w:tcPr>
            <w:tcW w:w="1701" w:type="dxa"/>
            <w:tcBorders>
              <w:bottom w:val="single" w:sz="4" w:space="0" w:color="auto"/>
            </w:tcBorders>
            <w:vAlign w:val="center"/>
            <w:hideMark/>
          </w:tcPr>
          <w:p w:rsidR="00985619" w:rsidRPr="00B76A3B" w:rsidRDefault="00985619" w:rsidP="00014C4C">
            <w:pPr>
              <w:jc w:val="both"/>
              <w:rPr>
                <w:rFonts w:cs="Times New Roman"/>
                <w:szCs w:val="28"/>
              </w:rPr>
            </w:pPr>
            <w:r w:rsidRPr="00B76A3B">
              <w:rPr>
                <w:rFonts w:cs="Times New Roman"/>
                <w:szCs w:val="28"/>
                <w:lang w:val="en-US"/>
              </w:rPr>
              <w:t>15.3</w:t>
            </w:r>
          </w:p>
        </w:tc>
        <w:tc>
          <w:tcPr>
            <w:tcW w:w="1701" w:type="dxa"/>
            <w:tcBorders>
              <w:bottom w:val="single" w:sz="4" w:space="0" w:color="auto"/>
            </w:tcBorders>
            <w:vAlign w:val="center"/>
            <w:hideMark/>
          </w:tcPr>
          <w:p w:rsidR="00985619" w:rsidRPr="00B76A3B" w:rsidRDefault="00985619" w:rsidP="00014C4C">
            <w:pPr>
              <w:jc w:val="both"/>
              <w:rPr>
                <w:rFonts w:cs="Times New Roman"/>
                <w:szCs w:val="28"/>
              </w:rPr>
            </w:pPr>
            <w:r w:rsidRPr="00B76A3B">
              <w:rPr>
                <w:rFonts w:cs="Times New Roman"/>
                <w:szCs w:val="28"/>
                <w:lang w:val="en-US"/>
              </w:rPr>
              <w:t>-4.9</w:t>
            </w:r>
          </w:p>
        </w:tc>
      </w:tr>
      <w:tr w:rsidR="00985619" w:rsidRPr="00B76A3B" w:rsidTr="00014C4C">
        <w:trPr>
          <w:trHeight w:val="660"/>
          <w:jc w:val="center"/>
        </w:trPr>
        <w:tc>
          <w:tcPr>
            <w:tcW w:w="3121" w:type="dxa"/>
            <w:tcBorders>
              <w:top w:val="single" w:sz="4" w:space="0" w:color="auto"/>
              <w:left w:val="single" w:sz="4" w:space="0" w:color="auto"/>
              <w:bottom w:val="single" w:sz="4" w:space="0" w:color="auto"/>
            </w:tcBorders>
            <w:vAlign w:val="center"/>
            <w:hideMark/>
          </w:tcPr>
          <w:p w:rsidR="00985619" w:rsidRPr="00B76A3B" w:rsidRDefault="00985619" w:rsidP="00014C4C">
            <w:pPr>
              <w:jc w:val="both"/>
              <w:rPr>
                <w:rFonts w:cs="Times New Roman"/>
                <w:szCs w:val="28"/>
              </w:rPr>
            </w:pPr>
            <w:r w:rsidRPr="00B76A3B">
              <w:rPr>
                <w:rFonts w:cs="Times New Roman"/>
                <w:b/>
                <w:bCs/>
                <w:szCs w:val="28"/>
              </w:rPr>
              <w:t>Здравоохранение</w:t>
            </w:r>
          </w:p>
        </w:tc>
        <w:tc>
          <w:tcPr>
            <w:tcW w:w="1843" w:type="dxa"/>
            <w:tcBorders>
              <w:top w:val="single" w:sz="4" w:space="0" w:color="auto"/>
              <w:bottom w:val="single" w:sz="4" w:space="0" w:color="auto"/>
            </w:tcBorders>
            <w:vAlign w:val="center"/>
            <w:hideMark/>
          </w:tcPr>
          <w:p w:rsidR="00985619" w:rsidRPr="00B76A3B" w:rsidRDefault="00985619" w:rsidP="00014C4C">
            <w:pPr>
              <w:jc w:val="both"/>
              <w:rPr>
                <w:rFonts w:cs="Times New Roman"/>
                <w:b/>
                <w:szCs w:val="28"/>
              </w:rPr>
            </w:pPr>
            <w:r w:rsidRPr="00B76A3B">
              <w:rPr>
                <w:rFonts w:cs="Times New Roman"/>
                <w:b/>
                <w:szCs w:val="28"/>
                <w:lang w:val="en-US"/>
              </w:rPr>
              <w:t>22.0</w:t>
            </w:r>
          </w:p>
        </w:tc>
        <w:tc>
          <w:tcPr>
            <w:tcW w:w="1701" w:type="dxa"/>
            <w:tcBorders>
              <w:top w:val="single" w:sz="4" w:space="0" w:color="auto"/>
              <w:bottom w:val="single" w:sz="4" w:space="0" w:color="auto"/>
            </w:tcBorders>
            <w:vAlign w:val="center"/>
            <w:hideMark/>
          </w:tcPr>
          <w:p w:rsidR="00985619" w:rsidRPr="00B76A3B" w:rsidRDefault="00985619" w:rsidP="00014C4C">
            <w:pPr>
              <w:jc w:val="both"/>
              <w:rPr>
                <w:rFonts w:cs="Times New Roman"/>
                <w:szCs w:val="28"/>
              </w:rPr>
            </w:pPr>
            <w:r w:rsidRPr="00B76A3B">
              <w:rPr>
                <w:rFonts w:cs="Times New Roman"/>
                <w:szCs w:val="28"/>
                <w:lang w:val="en-US"/>
              </w:rPr>
              <w:t>8.4</w:t>
            </w:r>
          </w:p>
        </w:tc>
        <w:tc>
          <w:tcPr>
            <w:tcW w:w="1701" w:type="dxa"/>
            <w:tcBorders>
              <w:top w:val="single" w:sz="4" w:space="0" w:color="auto"/>
              <w:bottom w:val="single" w:sz="4" w:space="0" w:color="auto"/>
              <w:right w:val="single" w:sz="4" w:space="0" w:color="auto"/>
            </w:tcBorders>
            <w:vAlign w:val="center"/>
            <w:hideMark/>
          </w:tcPr>
          <w:p w:rsidR="00985619" w:rsidRPr="00B76A3B" w:rsidRDefault="00985619" w:rsidP="00014C4C">
            <w:pPr>
              <w:jc w:val="both"/>
              <w:rPr>
                <w:rFonts w:cs="Times New Roman"/>
                <w:szCs w:val="28"/>
              </w:rPr>
            </w:pPr>
            <w:r w:rsidRPr="00B76A3B">
              <w:rPr>
                <w:rFonts w:cs="Times New Roman"/>
                <w:b/>
                <w:bCs/>
                <w:szCs w:val="28"/>
                <w:lang w:val="en-US"/>
              </w:rPr>
              <w:t>13.6</w:t>
            </w:r>
          </w:p>
        </w:tc>
      </w:tr>
      <w:tr w:rsidR="00985619" w:rsidRPr="00B76A3B" w:rsidTr="00014C4C">
        <w:trPr>
          <w:trHeight w:val="583"/>
          <w:jc w:val="center"/>
        </w:trPr>
        <w:tc>
          <w:tcPr>
            <w:tcW w:w="3121" w:type="dxa"/>
            <w:tcBorders>
              <w:top w:val="single" w:sz="4" w:space="0" w:color="auto"/>
            </w:tcBorders>
            <w:vAlign w:val="center"/>
            <w:hideMark/>
          </w:tcPr>
          <w:p w:rsidR="00985619" w:rsidRPr="00B76A3B" w:rsidRDefault="00985619" w:rsidP="00014C4C">
            <w:pPr>
              <w:jc w:val="both"/>
              <w:rPr>
                <w:rFonts w:cs="Times New Roman"/>
                <w:szCs w:val="28"/>
              </w:rPr>
            </w:pPr>
            <w:r w:rsidRPr="00B76A3B">
              <w:rPr>
                <w:rFonts w:cs="Times New Roman"/>
                <w:szCs w:val="28"/>
              </w:rPr>
              <w:t>Отдых и досуг</w:t>
            </w:r>
          </w:p>
        </w:tc>
        <w:tc>
          <w:tcPr>
            <w:tcW w:w="1843" w:type="dxa"/>
            <w:tcBorders>
              <w:top w:val="single" w:sz="4" w:space="0" w:color="auto"/>
            </w:tcBorders>
            <w:vAlign w:val="center"/>
            <w:hideMark/>
          </w:tcPr>
          <w:p w:rsidR="00985619" w:rsidRPr="00B76A3B" w:rsidRDefault="00985619" w:rsidP="00014C4C">
            <w:pPr>
              <w:jc w:val="both"/>
              <w:rPr>
                <w:rFonts w:cs="Times New Roman"/>
                <w:szCs w:val="28"/>
              </w:rPr>
            </w:pPr>
            <w:r w:rsidRPr="00B76A3B">
              <w:rPr>
                <w:rFonts w:cs="Times New Roman"/>
                <w:szCs w:val="28"/>
                <w:lang w:val="en-US"/>
              </w:rPr>
              <w:t>7.6</w:t>
            </w:r>
          </w:p>
        </w:tc>
        <w:tc>
          <w:tcPr>
            <w:tcW w:w="1701" w:type="dxa"/>
            <w:tcBorders>
              <w:top w:val="single" w:sz="4" w:space="0" w:color="auto"/>
            </w:tcBorders>
            <w:vAlign w:val="center"/>
            <w:hideMark/>
          </w:tcPr>
          <w:p w:rsidR="00985619" w:rsidRPr="00B76A3B" w:rsidRDefault="00985619" w:rsidP="00014C4C">
            <w:pPr>
              <w:jc w:val="both"/>
              <w:rPr>
                <w:rFonts w:cs="Times New Roman"/>
                <w:szCs w:val="28"/>
              </w:rPr>
            </w:pPr>
            <w:r w:rsidRPr="00B76A3B">
              <w:rPr>
                <w:rFonts w:cs="Times New Roman"/>
                <w:szCs w:val="28"/>
                <w:lang w:val="en-US"/>
              </w:rPr>
              <w:t>5.7</w:t>
            </w:r>
          </w:p>
        </w:tc>
        <w:tc>
          <w:tcPr>
            <w:tcW w:w="1701" w:type="dxa"/>
            <w:tcBorders>
              <w:top w:val="single" w:sz="4" w:space="0" w:color="auto"/>
            </w:tcBorders>
            <w:vAlign w:val="center"/>
            <w:hideMark/>
          </w:tcPr>
          <w:p w:rsidR="00985619" w:rsidRPr="00B76A3B" w:rsidRDefault="00985619" w:rsidP="00014C4C">
            <w:pPr>
              <w:jc w:val="both"/>
              <w:rPr>
                <w:rFonts w:cs="Times New Roman"/>
                <w:szCs w:val="28"/>
              </w:rPr>
            </w:pPr>
            <w:r w:rsidRPr="00B76A3B">
              <w:rPr>
                <w:rFonts w:cs="Times New Roman"/>
                <w:szCs w:val="28"/>
                <w:lang w:val="en-US"/>
              </w:rPr>
              <w:t>1.9</w:t>
            </w:r>
          </w:p>
        </w:tc>
      </w:tr>
      <w:tr w:rsidR="00985619" w:rsidRPr="00B76A3B" w:rsidTr="00014C4C">
        <w:trPr>
          <w:trHeight w:val="583"/>
          <w:jc w:val="center"/>
        </w:trPr>
        <w:tc>
          <w:tcPr>
            <w:tcW w:w="3121" w:type="dxa"/>
            <w:vAlign w:val="center"/>
            <w:hideMark/>
          </w:tcPr>
          <w:p w:rsidR="00985619" w:rsidRPr="00B76A3B" w:rsidRDefault="00985619" w:rsidP="00014C4C">
            <w:pPr>
              <w:jc w:val="both"/>
              <w:rPr>
                <w:rFonts w:cs="Times New Roman"/>
                <w:szCs w:val="28"/>
              </w:rPr>
            </w:pPr>
            <w:r w:rsidRPr="00B76A3B">
              <w:rPr>
                <w:rFonts w:cs="Times New Roman"/>
                <w:szCs w:val="28"/>
              </w:rPr>
              <w:t>Образование и связи</w:t>
            </w:r>
          </w:p>
        </w:tc>
        <w:tc>
          <w:tcPr>
            <w:tcW w:w="1843" w:type="dxa"/>
            <w:vAlign w:val="center"/>
            <w:hideMark/>
          </w:tcPr>
          <w:p w:rsidR="00985619" w:rsidRPr="00B76A3B" w:rsidRDefault="00985619" w:rsidP="00014C4C">
            <w:pPr>
              <w:jc w:val="both"/>
              <w:rPr>
                <w:rFonts w:cs="Times New Roman"/>
                <w:szCs w:val="28"/>
              </w:rPr>
            </w:pPr>
            <w:r w:rsidRPr="00B76A3B">
              <w:rPr>
                <w:rFonts w:cs="Times New Roman"/>
                <w:szCs w:val="28"/>
                <w:lang w:val="en-US"/>
              </w:rPr>
              <w:t>6.2</w:t>
            </w:r>
          </w:p>
        </w:tc>
        <w:tc>
          <w:tcPr>
            <w:tcW w:w="1701" w:type="dxa"/>
            <w:vAlign w:val="center"/>
            <w:hideMark/>
          </w:tcPr>
          <w:p w:rsidR="00985619" w:rsidRPr="00B76A3B" w:rsidRDefault="00985619" w:rsidP="00014C4C">
            <w:pPr>
              <w:jc w:val="both"/>
              <w:rPr>
                <w:rFonts w:cs="Times New Roman"/>
                <w:szCs w:val="28"/>
              </w:rPr>
            </w:pPr>
            <w:r w:rsidRPr="00B76A3B">
              <w:rPr>
                <w:rFonts w:cs="Times New Roman"/>
                <w:szCs w:val="28"/>
                <w:lang w:val="en-US"/>
              </w:rPr>
              <w:t>7.1</w:t>
            </w:r>
          </w:p>
        </w:tc>
        <w:tc>
          <w:tcPr>
            <w:tcW w:w="1701" w:type="dxa"/>
            <w:vAlign w:val="center"/>
            <w:hideMark/>
          </w:tcPr>
          <w:p w:rsidR="00985619" w:rsidRPr="00B76A3B" w:rsidRDefault="00985619" w:rsidP="00014C4C">
            <w:pPr>
              <w:jc w:val="both"/>
              <w:rPr>
                <w:rFonts w:cs="Times New Roman"/>
                <w:szCs w:val="28"/>
              </w:rPr>
            </w:pPr>
            <w:r w:rsidRPr="00B76A3B">
              <w:rPr>
                <w:rFonts w:cs="Times New Roman"/>
                <w:szCs w:val="28"/>
                <w:lang w:val="en-US"/>
              </w:rPr>
              <w:t>-0.9</w:t>
            </w:r>
          </w:p>
        </w:tc>
      </w:tr>
      <w:tr w:rsidR="00985619" w:rsidRPr="00B76A3B" w:rsidTr="00014C4C">
        <w:trPr>
          <w:trHeight w:val="624"/>
          <w:jc w:val="center"/>
        </w:trPr>
        <w:tc>
          <w:tcPr>
            <w:tcW w:w="3121" w:type="dxa"/>
            <w:vAlign w:val="center"/>
            <w:hideMark/>
          </w:tcPr>
          <w:p w:rsidR="00985619" w:rsidRPr="00B76A3B" w:rsidRDefault="00985619" w:rsidP="00014C4C">
            <w:pPr>
              <w:jc w:val="both"/>
              <w:rPr>
                <w:rFonts w:cs="Times New Roman"/>
                <w:szCs w:val="28"/>
              </w:rPr>
            </w:pPr>
            <w:r w:rsidRPr="00B76A3B">
              <w:rPr>
                <w:rFonts w:cs="Times New Roman"/>
                <w:b/>
                <w:bCs/>
                <w:szCs w:val="28"/>
              </w:rPr>
              <w:t>Иные товары и услуги для личного потребления</w:t>
            </w:r>
          </w:p>
        </w:tc>
        <w:tc>
          <w:tcPr>
            <w:tcW w:w="1843" w:type="dxa"/>
            <w:vAlign w:val="center"/>
            <w:hideMark/>
          </w:tcPr>
          <w:p w:rsidR="00985619" w:rsidRPr="00B76A3B" w:rsidRDefault="00985619" w:rsidP="00014C4C">
            <w:pPr>
              <w:jc w:val="both"/>
              <w:rPr>
                <w:rFonts w:cs="Times New Roman"/>
                <w:szCs w:val="28"/>
              </w:rPr>
            </w:pPr>
            <w:r w:rsidRPr="00B76A3B">
              <w:rPr>
                <w:rFonts w:cs="Times New Roman"/>
                <w:szCs w:val="28"/>
                <w:lang w:val="en-US"/>
              </w:rPr>
              <w:t>13.4</w:t>
            </w:r>
          </w:p>
        </w:tc>
        <w:tc>
          <w:tcPr>
            <w:tcW w:w="1701" w:type="dxa"/>
            <w:vAlign w:val="center"/>
            <w:hideMark/>
          </w:tcPr>
          <w:p w:rsidR="00985619" w:rsidRPr="00B76A3B" w:rsidRDefault="00985619" w:rsidP="00014C4C">
            <w:pPr>
              <w:jc w:val="both"/>
              <w:rPr>
                <w:rFonts w:cs="Times New Roman"/>
                <w:szCs w:val="28"/>
              </w:rPr>
            </w:pPr>
            <w:r w:rsidRPr="00B76A3B">
              <w:rPr>
                <w:rFonts w:cs="Times New Roman"/>
                <w:szCs w:val="28"/>
                <w:lang w:val="en-US"/>
              </w:rPr>
              <w:t>3.2</w:t>
            </w:r>
          </w:p>
        </w:tc>
        <w:tc>
          <w:tcPr>
            <w:tcW w:w="1701" w:type="dxa"/>
            <w:vAlign w:val="center"/>
            <w:hideMark/>
          </w:tcPr>
          <w:p w:rsidR="00985619" w:rsidRPr="00B76A3B" w:rsidRDefault="00985619" w:rsidP="00014C4C">
            <w:pPr>
              <w:jc w:val="both"/>
              <w:rPr>
                <w:rFonts w:cs="Times New Roman"/>
                <w:szCs w:val="28"/>
              </w:rPr>
            </w:pPr>
            <w:r w:rsidRPr="00B76A3B">
              <w:rPr>
                <w:rFonts w:cs="Times New Roman"/>
                <w:b/>
                <w:bCs/>
                <w:szCs w:val="28"/>
                <w:lang w:val="en-US"/>
              </w:rPr>
              <w:t>10.2</w:t>
            </w:r>
          </w:p>
        </w:tc>
      </w:tr>
    </w:tbl>
    <w:p w:rsidR="00985619" w:rsidRPr="00B76A3B" w:rsidRDefault="00985619" w:rsidP="00985619">
      <w:pPr>
        <w:spacing w:after="0" w:line="240" w:lineRule="auto"/>
        <w:ind w:firstLine="709"/>
        <w:jc w:val="both"/>
        <w:rPr>
          <w:rFonts w:cs="Times New Roman"/>
          <w:i/>
          <w:szCs w:val="28"/>
          <w:lang w:val="en-US"/>
        </w:rPr>
      </w:pPr>
      <w:r w:rsidRPr="00B76A3B">
        <w:rPr>
          <w:rFonts w:cs="Times New Roman"/>
          <w:i/>
          <w:szCs w:val="28"/>
        </w:rPr>
        <w:t>Источник</w:t>
      </w:r>
      <w:r w:rsidRPr="00B76A3B">
        <w:rPr>
          <w:rFonts w:cs="Times New Roman"/>
          <w:i/>
          <w:szCs w:val="28"/>
          <w:lang w:val="en-US"/>
        </w:rPr>
        <w:t xml:space="preserve">: </w:t>
      </w:r>
      <w:r w:rsidRPr="00B76A3B">
        <w:rPr>
          <w:rFonts w:cs="Times New Roman"/>
          <w:i/>
          <w:szCs w:val="28"/>
        </w:rPr>
        <w:t>методология</w:t>
      </w:r>
      <w:r w:rsidRPr="00B76A3B">
        <w:rPr>
          <w:rFonts w:cs="Times New Roman"/>
          <w:i/>
          <w:szCs w:val="28"/>
          <w:lang w:val="en-US"/>
        </w:rPr>
        <w:t xml:space="preserve"> Bureau of Economic Analysis  </w:t>
      </w:r>
      <w:hyperlink r:id="rId25" w:history="1">
        <w:r w:rsidRPr="00B76A3B">
          <w:rPr>
            <w:rStyle w:val="a5"/>
            <w:rFonts w:cs="Times New Roman"/>
            <w:i/>
            <w:lang w:val="en-US"/>
          </w:rPr>
          <w:t>https://www.bea.gov/regional/methods.cfm</w:t>
        </w:r>
      </w:hyperlink>
    </w:p>
    <w:p w:rsidR="00985619" w:rsidRPr="00B76A3B" w:rsidRDefault="00985619" w:rsidP="00985619">
      <w:pPr>
        <w:spacing w:after="0" w:line="240" w:lineRule="auto"/>
        <w:ind w:firstLine="709"/>
        <w:jc w:val="both"/>
        <w:rPr>
          <w:rFonts w:cs="Times New Roman"/>
          <w:szCs w:val="28"/>
          <w:lang w:val="en-US"/>
        </w:rPr>
      </w:pPr>
    </w:p>
    <w:p w:rsidR="00985619" w:rsidRPr="00B76A3B" w:rsidRDefault="00985619" w:rsidP="00985619">
      <w:pPr>
        <w:spacing w:after="0" w:line="240" w:lineRule="auto"/>
        <w:ind w:firstLine="709"/>
        <w:jc w:val="both"/>
        <w:rPr>
          <w:rFonts w:cs="Times New Roman"/>
          <w:b/>
          <w:szCs w:val="28"/>
          <w:u w:val="single"/>
        </w:rPr>
      </w:pPr>
      <w:r w:rsidRPr="00B76A3B">
        <w:rPr>
          <w:rFonts w:cs="Times New Roman"/>
          <w:szCs w:val="28"/>
        </w:rPr>
        <w:t xml:space="preserve">Следует отметить, что в Казахстане, в составе ИПЦ, здравоохранение на конец 2017 года составляло 3,12%, сократившись по отношению к концу 2016 года в составе ИПЦ на 0,6 п.п. Как следует из примера ценовых индексов в США, удельный вес здравоохранения в составе PCE превышает удельный вес в составе ИПЦ на 13,6 п.п., </w:t>
      </w:r>
      <w:r w:rsidRPr="00B76A3B">
        <w:rPr>
          <w:rFonts w:cs="Times New Roman"/>
          <w:b/>
          <w:szCs w:val="28"/>
          <w:u w:val="single"/>
        </w:rPr>
        <w:t>что позволяет более информативно оценить влияние расходов на здравоохранение на размер и величину благосостояния населения.</w:t>
      </w:r>
    </w:p>
    <w:p w:rsidR="00985619" w:rsidRDefault="00985619" w:rsidP="00985619">
      <w:pPr>
        <w:spacing w:after="0" w:line="240" w:lineRule="auto"/>
        <w:ind w:firstLine="709"/>
        <w:jc w:val="both"/>
        <w:rPr>
          <w:rFonts w:cs="Times New Roman"/>
          <w:szCs w:val="28"/>
        </w:rPr>
      </w:pPr>
      <w:r w:rsidRPr="00B76A3B">
        <w:rPr>
          <w:rFonts w:cs="Times New Roman"/>
          <w:szCs w:val="28"/>
        </w:rPr>
        <w:t>Следует понимать, что PCE представляет собой индекс Фишера, рассчитанный из следующих индексов в указанных соотношениях (таблица 6).</w:t>
      </w:r>
    </w:p>
    <w:p w:rsidR="00985619" w:rsidRPr="00B76A3B" w:rsidRDefault="00985619" w:rsidP="00985619">
      <w:pPr>
        <w:spacing w:after="0" w:line="240" w:lineRule="auto"/>
        <w:ind w:firstLine="709"/>
        <w:jc w:val="both"/>
        <w:rPr>
          <w:rFonts w:cs="Times New Roman"/>
          <w:szCs w:val="28"/>
        </w:rPr>
      </w:pPr>
    </w:p>
    <w:p w:rsidR="00985619" w:rsidRPr="00B76A3B" w:rsidRDefault="00985619" w:rsidP="00985619">
      <w:pPr>
        <w:spacing w:after="0" w:line="240" w:lineRule="auto"/>
        <w:ind w:firstLine="709"/>
        <w:jc w:val="both"/>
        <w:rPr>
          <w:rFonts w:cs="Times New Roman"/>
          <w:b/>
          <w:szCs w:val="28"/>
        </w:rPr>
      </w:pPr>
    </w:p>
    <w:p w:rsidR="00985619" w:rsidRPr="00B76A3B" w:rsidRDefault="00985619" w:rsidP="00985619">
      <w:pPr>
        <w:spacing w:after="0" w:line="240" w:lineRule="auto"/>
        <w:ind w:firstLine="709"/>
        <w:jc w:val="both"/>
        <w:rPr>
          <w:rFonts w:cs="Times New Roman"/>
          <w:b/>
          <w:szCs w:val="28"/>
        </w:rPr>
      </w:pPr>
      <w:r w:rsidRPr="00B76A3B">
        <w:rPr>
          <w:rFonts w:cs="Times New Roman"/>
          <w:b/>
          <w:szCs w:val="28"/>
        </w:rPr>
        <w:t>Таблица 6 – Соотношения индексов в агрегированном РСЕ</w:t>
      </w:r>
    </w:p>
    <w:tbl>
      <w:tblPr>
        <w:tblStyle w:val="2-11"/>
        <w:tblW w:w="5211" w:type="dxa"/>
        <w:jc w:val="center"/>
        <w:tblLook w:val="0600" w:firstRow="0" w:lastRow="0" w:firstColumn="0" w:lastColumn="0" w:noHBand="1" w:noVBand="1"/>
      </w:tblPr>
      <w:tblGrid>
        <w:gridCol w:w="2376"/>
        <w:gridCol w:w="2835"/>
      </w:tblGrid>
      <w:tr w:rsidR="00985619" w:rsidRPr="00B76A3B" w:rsidTr="00014C4C">
        <w:trPr>
          <w:trHeight w:val="720"/>
          <w:jc w:val="center"/>
        </w:trPr>
        <w:tc>
          <w:tcPr>
            <w:tcW w:w="2376" w:type="dxa"/>
            <w:vAlign w:val="center"/>
            <w:hideMark/>
          </w:tcPr>
          <w:p w:rsidR="00985619" w:rsidRPr="00B76A3B" w:rsidRDefault="00985619" w:rsidP="00014C4C">
            <w:pPr>
              <w:ind w:firstLine="709"/>
              <w:jc w:val="both"/>
              <w:rPr>
                <w:rFonts w:cs="Times New Roman"/>
                <w:szCs w:val="28"/>
              </w:rPr>
            </w:pPr>
            <w:r w:rsidRPr="00B76A3B">
              <w:rPr>
                <w:rFonts w:cs="Times New Roman"/>
                <w:b/>
                <w:bCs/>
                <w:szCs w:val="28"/>
              </w:rPr>
              <w:t>Тип индекса</w:t>
            </w:r>
          </w:p>
        </w:tc>
        <w:tc>
          <w:tcPr>
            <w:tcW w:w="2835" w:type="dxa"/>
            <w:vAlign w:val="center"/>
            <w:hideMark/>
          </w:tcPr>
          <w:p w:rsidR="00985619" w:rsidRPr="00B76A3B" w:rsidRDefault="00985619" w:rsidP="00014C4C">
            <w:pPr>
              <w:ind w:firstLine="709"/>
              <w:jc w:val="both"/>
              <w:rPr>
                <w:rFonts w:cs="Times New Roman"/>
                <w:szCs w:val="28"/>
              </w:rPr>
            </w:pPr>
            <w:r w:rsidRPr="00B76A3B">
              <w:rPr>
                <w:rFonts w:cs="Times New Roman"/>
                <w:b/>
                <w:bCs/>
                <w:szCs w:val="28"/>
              </w:rPr>
              <w:t>Доля в PCE, %</w:t>
            </w:r>
          </w:p>
        </w:tc>
      </w:tr>
      <w:tr w:rsidR="00985619" w:rsidRPr="00B76A3B" w:rsidTr="00014C4C">
        <w:trPr>
          <w:trHeight w:val="843"/>
          <w:jc w:val="center"/>
        </w:trPr>
        <w:tc>
          <w:tcPr>
            <w:tcW w:w="2376" w:type="dxa"/>
            <w:vAlign w:val="center"/>
            <w:hideMark/>
          </w:tcPr>
          <w:p w:rsidR="00985619" w:rsidRPr="00B76A3B" w:rsidRDefault="00985619" w:rsidP="00014C4C">
            <w:pPr>
              <w:ind w:firstLine="709"/>
              <w:jc w:val="both"/>
              <w:rPr>
                <w:rFonts w:cs="Times New Roman"/>
                <w:szCs w:val="28"/>
              </w:rPr>
            </w:pPr>
            <w:r w:rsidRPr="00B76A3B">
              <w:rPr>
                <w:rFonts w:cs="Times New Roman"/>
                <w:szCs w:val="28"/>
              </w:rPr>
              <w:lastRenderedPageBreak/>
              <w:t>ИПЦ (</w:t>
            </w:r>
            <w:r w:rsidRPr="00B76A3B">
              <w:rPr>
                <w:rFonts w:cs="Times New Roman"/>
                <w:szCs w:val="28"/>
                <w:lang w:val="en-US"/>
              </w:rPr>
              <w:t>CPI</w:t>
            </w:r>
            <w:r w:rsidRPr="00B76A3B">
              <w:rPr>
                <w:rFonts w:cs="Times New Roman"/>
                <w:szCs w:val="28"/>
              </w:rPr>
              <w:t>)</w:t>
            </w:r>
          </w:p>
        </w:tc>
        <w:tc>
          <w:tcPr>
            <w:tcW w:w="2835" w:type="dxa"/>
            <w:vAlign w:val="center"/>
            <w:hideMark/>
          </w:tcPr>
          <w:p w:rsidR="00985619" w:rsidRPr="00B76A3B" w:rsidRDefault="00985619" w:rsidP="00014C4C">
            <w:pPr>
              <w:ind w:firstLine="709"/>
              <w:jc w:val="both"/>
              <w:rPr>
                <w:rFonts w:cs="Times New Roman"/>
                <w:szCs w:val="28"/>
              </w:rPr>
            </w:pPr>
            <w:r w:rsidRPr="00B76A3B">
              <w:rPr>
                <w:rFonts w:cs="Times New Roman"/>
                <w:szCs w:val="28"/>
              </w:rPr>
              <w:t>71</w:t>
            </w:r>
          </w:p>
        </w:tc>
      </w:tr>
      <w:tr w:rsidR="00985619" w:rsidRPr="00B76A3B" w:rsidTr="00014C4C">
        <w:trPr>
          <w:trHeight w:val="883"/>
          <w:jc w:val="center"/>
        </w:trPr>
        <w:tc>
          <w:tcPr>
            <w:tcW w:w="2376" w:type="dxa"/>
            <w:vAlign w:val="center"/>
            <w:hideMark/>
          </w:tcPr>
          <w:p w:rsidR="00985619" w:rsidRPr="00B76A3B" w:rsidRDefault="00985619" w:rsidP="00014C4C">
            <w:pPr>
              <w:ind w:firstLine="709"/>
              <w:jc w:val="both"/>
              <w:rPr>
                <w:rFonts w:cs="Times New Roman"/>
                <w:szCs w:val="28"/>
              </w:rPr>
            </w:pPr>
            <w:r w:rsidRPr="00B76A3B">
              <w:rPr>
                <w:rFonts w:cs="Times New Roman"/>
                <w:szCs w:val="28"/>
              </w:rPr>
              <w:t>Индекс цен производителей</w:t>
            </w:r>
          </w:p>
        </w:tc>
        <w:tc>
          <w:tcPr>
            <w:tcW w:w="2835" w:type="dxa"/>
            <w:vAlign w:val="center"/>
            <w:hideMark/>
          </w:tcPr>
          <w:p w:rsidR="00985619" w:rsidRPr="00B76A3B" w:rsidRDefault="00985619" w:rsidP="00014C4C">
            <w:pPr>
              <w:ind w:firstLine="709"/>
              <w:jc w:val="both"/>
              <w:rPr>
                <w:rFonts w:cs="Times New Roman"/>
                <w:szCs w:val="28"/>
              </w:rPr>
            </w:pPr>
            <w:r w:rsidRPr="00B76A3B">
              <w:rPr>
                <w:rFonts w:cs="Times New Roman"/>
                <w:szCs w:val="28"/>
              </w:rPr>
              <w:t>12</w:t>
            </w:r>
          </w:p>
        </w:tc>
      </w:tr>
      <w:tr w:rsidR="00985619" w:rsidRPr="00B76A3B" w:rsidTr="00014C4C">
        <w:trPr>
          <w:trHeight w:val="803"/>
          <w:jc w:val="center"/>
        </w:trPr>
        <w:tc>
          <w:tcPr>
            <w:tcW w:w="2376" w:type="dxa"/>
            <w:vAlign w:val="center"/>
            <w:hideMark/>
          </w:tcPr>
          <w:p w:rsidR="00985619" w:rsidRPr="00B76A3B" w:rsidRDefault="00985619" w:rsidP="00014C4C">
            <w:pPr>
              <w:ind w:firstLine="709"/>
              <w:jc w:val="both"/>
              <w:rPr>
                <w:rFonts w:cs="Times New Roman"/>
                <w:szCs w:val="28"/>
              </w:rPr>
            </w:pPr>
            <w:r w:rsidRPr="00B76A3B">
              <w:rPr>
                <w:rFonts w:cs="Times New Roman"/>
                <w:szCs w:val="28"/>
              </w:rPr>
              <w:t>Индекс входных затрат</w:t>
            </w:r>
          </w:p>
        </w:tc>
        <w:tc>
          <w:tcPr>
            <w:tcW w:w="2835" w:type="dxa"/>
            <w:vAlign w:val="center"/>
            <w:hideMark/>
          </w:tcPr>
          <w:p w:rsidR="00985619" w:rsidRPr="00B76A3B" w:rsidRDefault="00985619" w:rsidP="00014C4C">
            <w:pPr>
              <w:ind w:firstLine="709"/>
              <w:jc w:val="both"/>
              <w:rPr>
                <w:rFonts w:cs="Times New Roman"/>
                <w:szCs w:val="28"/>
              </w:rPr>
            </w:pPr>
            <w:r w:rsidRPr="00B76A3B">
              <w:rPr>
                <w:rFonts w:cs="Times New Roman"/>
                <w:szCs w:val="28"/>
              </w:rPr>
              <w:t>13</w:t>
            </w:r>
          </w:p>
        </w:tc>
      </w:tr>
      <w:tr w:rsidR="00985619" w:rsidRPr="00B76A3B" w:rsidTr="00014C4C">
        <w:trPr>
          <w:trHeight w:val="624"/>
          <w:jc w:val="center"/>
        </w:trPr>
        <w:tc>
          <w:tcPr>
            <w:tcW w:w="2376" w:type="dxa"/>
            <w:vAlign w:val="center"/>
            <w:hideMark/>
          </w:tcPr>
          <w:p w:rsidR="00985619" w:rsidRPr="00B76A3B" w:rsidRDefault="00985619" w:rsidP="00014C4C">
            <w:pPr>
              <w:ind w:firstLine="709"/>
              <w:jc w:val="both"/>
              <w:rPr>
                <w:rFonts w:cs="Times New Roman"/>
                <w:szCs w:val="28"/>
              </w:rPr>
            </w:pPr>
            <w:r w:rsidRPr="00B76A3B">
              <w:rPr>
                <w:rFonts w:cs="Times New Roman"/>
                <w:szCs w:val="28"/>
              </w:rPr>
              <w:t>Другие</w:t>
            </w:r>
          </w:p>
        </w:tc>
        <w:tc>
          <w:tcPr>
            <w:tcW w:w="2835" w:type="dxa"/>
            <w:vAlign w:val="center"/>
            <w:hideMark/>
          </w:tcPr>
          <w:p w:rsidR="00985619" w:rsidRPr="00B76A3B" w:rsidRDefault="00985619" w:rsidP="00014C4C">
            <w:pPr>
              <w:ind w:firstLine="709"/>
              <w:jc w:val="both"/>
              <w:rPr>
                <w:rFonts w:cs="Times New Roman"/>
                <w:szCs w:val="28"/>
              </w:rPr>
            </w:pPr>
            <w:r w:rsidRPr="00B76A3B">
              <w:rPr>
                <w:rFonts w:cs="Times New Roman"/>
                <w:szCs w:val="28"/>
              </w:rPr>
              <w:t>4</w:t>
            </w:r>
          </w:p>
        </w:tc>
      </w:tr>
    </w:tbl>
    <w:p w:rsidR="00985619" w:rsidRPr="00B76A3B" w:rsidRDefault="00985619" w:rsidP="00985619">
      <w:pPr>
        <w:spacing w:after="0" w:line="240" w:lineRule="auto"/>
        <w:ind w:firstLine="709"/>
        <w:jc w:val="both"/>
        <w:rPr>
          <w:rFonts w:cs="Times New Roman"/>
          <w:i/>
          <w:szCs w:val="28"/>
          <w:lang w:val="en-US"/>
        </w:rPr>
      </w:pPr>
      <w:r w:rsidRPr="00B76A3B">
        <w:rPr>
          <w:rFonts w:cs="Times New Roman"/>
          <w:i/>
          <w:szCs w:val="28"/>
        </w:rPr>
        <w:t>Источник</w:t>
      </w:r>
      <w:r w:rsidRPr="00B76A3B">
        <w:rPr>
          <w:rFonts w:cs="Times New Roman"/>
          <w:i/>
          <w:szCs w:val="28"/>
          <w:lang w:val="en-US"/>
        </w:rPr>
        <w:t xml:space="preserve">: </w:t>
      </w:r>
      <w:r w:rsidRPr="00B76A3B">
        <w:rPr>
          <w:rFonts w:cs="Times New Roman"/>
          <w:i/>
          <w:szCs w:val="28"/>
        </w:rPr>
        <w:t>методология</w:t>
      </w:r>
      <w:r w:rsidRPr="00B76A3B">
        <w:rPr>
          <w:rFonts w:cs="Times New Roman"/>
          <w:i/>
          <w:szCs w:val="28"/>
          <w:lang w:val="en-US"/>
        </w:rPr>
        <w:t xml:space="preserve"> Bureau of Economic Analysis  </w:t>
      </w:r>
      <w:hyperlink r:id="rId26" w:history="1">
        <w:r w:rsidRPr="00B76A3B">
          <w:rPr>
            <w:rStyle w:val="a5"/>
            <w:rFonts w:cs="Times New Roman"/>
            <w:i/>
            <w:lang w:val="en-US"/>
          </w:rPr>
          <w:t>https://www.bea.gov/regional/methods.cfm</w:t>
        </w:r>
      </w:hyperlink>
    </w:p>
    <w:p w:rsidR="00985619" w:rsidRPr="00B76A3B" w:rsidRDefault="00985619" w:rsidP="00985619">
      <w:pPr>
        <w:spacing w:after="0" w:line="240" w:lineRule="auto"/>
        <w:ind w:firstLine="709"/>
        <w:jc w:val="both"/>
        <w:rPr>
          <w:rFonts w:cs="Times New Roman"/>
          <w:szCs w:val="28"/>
          <w:lang w:val="en-US"/>
        </w:rPr>
      </w:pPr>
    </w:p>
    <w:p w:rsidR="00985619" w:rsidRPr="00B76A3B" w:rsidRDefault="00985619" w:rsidP="00985619">
      <w:pPr>
        <w:spacing w:after="0" w:line="240" w:lineRule="auto"/>
        <w:ind w:firstLine="709"/>
        <w:jc w:val="both"/>
        <w:rPr>
          <w:rFonts w:cs="Times New Roman"/>
          <w:szCs w:val="28"/>
        </w:rPr>
      </w:pPr>
      <w:r w:rsidRPr="00B76A3B">
        <w:rPr>
          <w:rFonts w:cs="Times New Roman"/>
          <w:szCs w:val="28"/>
        </w:rPr>
        <w:t xml:space="preserve">Наличие среди индексов, входящих в агрегированный индекс РСЕ, </w:t>
      </w:r>
      <w:r w:rsidRPr="00B76A3B">
        <w:rPr>
          <w:rFonts w:cs="Times New Roman"/>
          <w:b/>
          <w:szCs w:val="28"/>
        </w:rPr>
        <w:t>индекса цен производителей</w:t>
      </w:r>
      <w:r w:rsidRPr="00B76A3B">
        <w:rPr>
          <w:rFonts w:cs="Times New Roman"/>
          <w:szCs w:val="28"/>
        </w:rPr>
        <w:t xml:space="preserve"> значительно улучшает его значения относительно реального уровня инфляции в стране: во-первых, данный индекс формируется раньше ИПЦ и позволяет учесть понесенные предприятиями затраты, во-вторых он основан на обследовании предприятий, и не подвержен субъективным оценкам потребителей (как это происходит с ИПЦ).</w:t>
      </w:r>
    </w:p>
    <w:p w:rsidR="00985619" w:rsidRPr="00B76A3B" w:rsidRDefault="00985619" w:rsidP="00985619">
      <w:pPr>
        <w:spacing w:after="0" w:line="240" w:lineRule="auto"/>
        <w:ind w:firstLine="709"/>
        <w:jc w:val="both"/>
        <w:rPr>
          <w:rFonts w:cs="Times New Roman"/>
          <w:szCs w:val="28"/>
        </w:rPr>
      </w:pPr>
      <w:r w:rsidRPr="00B76A3B">
        <w:rPr>
          <w:rFonts w:cs="Times New Roman"/>
          <w:szCs w:val="28"/>
        </w:rPr>
        <w:t>Состав категории здравоохранения в РСЕ выглядит следующим образом (таблица 7).</w:t>
      </w:r>
    </w:p>
    <w:p w:rsidR="00985619" w:rsidRPr="00B76A3B" w:rsidRDefault="00985619" w:rsidP="00985619">
      <w:pPr>
        <w:spacing w:after="0" w:line="240" w:lineRule="auto"/>
        <w:ind w:firstLine="709"/>
        <w:jc w:val="both"/>
        <w:rPr>
          <w:rFonts w:cs="Times New Roman"/>
          <w:szCs w:val="28"/>
        </w:rPr>
      </w:pPr>
    </w:p>
    <w:p w:rsidR="00985619" w:rsidRPr="00B76A3B" w:rsidRDefault="00985619" w:rsidP="00985619">
      <w:pPr>
        <w:spacing w:after="0" w:line="240" w:lineRule="auto"/>
        <w:ind w:firstLine="709"/>
        <w:jc w:val="both"/>
        <w:rPr>
          <w:rFonts w:cs="Times New Roman"/>
          <w:b/>
          <w:szCs w:val="28"/>
        </w:rPr>
      </w:pPr>
      <w:r w:rsidRPr="00B76A3B">
        <w:rPr>
          <w:rFonts w:cs="Times New Roman"/>
          <w:b/>
          <w:szCs w:val="28"/>
        </w:rPr>
        <w:t>Таблица 7 – Индексы, на основании которых рассчитываются компоненты медицинской инфляции в составе РСЕ</w:t>
      </w:r>
    </w:p>
    <w:tbl>
      <w:tblPr>
        <w:tblStyle w:val="2-10"/>
        <w:tblW w:w="8865" w:type="dxa"/>
        <w:tblLook w:val="04A0" w:firstRow="1" w:lastRow="0" w:firstColumn="1" w:lastColumn="0" w:noHBand="0" w:noVBand="1"/>
      </w:tblPr>
      <w:tblGrid>
        <w:gridCol w:w="4896"/>
        <w:gridCol w:w="3969"/>
      </w:tblGrid>
      <w:tr w:rsidR="00985619" w:rsidRPr="00B76A3B" w:rsidTr="00014C4C">
        <w:trPr>
          <w:cnfStyle w:val="100000000000" w:firstRow="1" w:lastRow="0" w:firstColumn="0" w:lastColumn="0" w:oddVBand="0" w:evenVBand="0" w:oddHBand="0" w:evenHBand="0" w:firstRowFirstColumn="0" w:firstRowLastColumn="0" w:lastRowFirstColumn="0" w:lastRowLastColumn="0"/>
          <w:trHeight w:val="255"/>
        </w:trPr>
        <w:tc>
          <w:tcPr>
            <w:cnfStyle w:val="001000000100" w:firstRow="0" w:lastRow="0" w:firstColumn="1" w:lastColumn="0" w:oddVBand="0" w:evenVBand="0" w:oddHBand="0" w:evenHBand="0" w:firstRowFirstColumn="1" w:firstRowLastColumn="0" w:lastRowFirstColumn="0" w:lastRowLastColumn="0"/>
            <w:tcW w:w="4896" w:type="dxa"/>
            <w:noWrap/>
            <w:vAlign w:val="center"/>
            <w:hideMark/>
          </w:tcPr>
          <w:p w:rsidR="00985619" w:rsidRPr="00B76A3B" w:rsidRDefault="00985619" w:rsidP="00014C4C">
            <w:pPr>
              <w:ind w:firstLine="709"/>
              <w:jc w:val="both"/>
              <w:rPr>
                <w:rFonts w:eastAsiaTheme="minorHAnsi" w:cs="Times New Roman"/>
                <w:b/>
                <w:color w:val="auto"/>
                <w:szCs w:val="28"/>
              </w:rPr>
            </w:pPr>
            <w:r w:rsidRPr="00B76A3B">
              <w:rPr>
                <w:rFonts w:eastAsiaTheme="minorHAnsi" w:cs="Times New Roman"/>
                <w:b/>
                <w:color w:val="auto"/>
                <w:szCs w:val="28"/>
              </w:rPr>
              <w:t>Здравоохранение</w:t>
            </w:r>
          </w:p>
        </w:tc>
        <w:tc>
          <w:tcPr>
            <w:tcW w:w="3969" w:type="dxa"/>
            <w:vAlign w:val="center"/>
            <w:hideMark/>
          </w:tcPr>
          <w:p w:rsidR="00985619" w:rsidRPr="00B76A3B" w:rsidRDefault="00985619" w:rsidP="00014C4C">
            <w:pPr>
              <w:ind w:firstLine="709"/>
              <w:jc w:val="both"/>
              <w:cnfStyle w:val="100000000000" w:firstRow="1" w:lastRow="0" w:firstColumn="0" w:lastColumn="0" w:oddVBand="0" w:evenVBand="0" w:oddHBand="0" w:evenHBand="0" w:firstRowFirstColumn="0" w:firstRowLastColumn="0" w:lastRowFirstColumn="0" w:lastRowLastColumn="0"/>
              <w:rPr>
                <w:rFonts w:eastAsiaTheme="minorHAnsi" w:cs="Times New Roman"/>
                <w:b/>
                <w:color w:val="auto"/>
                <w:szCs w:val="28"/>
              </w:rPr>
            </w:pPr>
            <w:r w:rsidRPr="00B76A3B">
              <w:rPr>
                <w:rFonts w:eastAsiaTheme="minorHAnsi" w:cs="Times New Roman"/>
                <w:b/>
                <w:color w:val="auto"/>
                <w:szCs w:val="28"/>
              </w:rPr>
              <w:t>Индекс, на основании которого агрегируют данные</w:t>
            </w:r>
          </w:p>
        </w:tc>
      </w:tr>
      <w:tr w:rsidR="00985619" w:rsidRPr="00B76A3B" w:rsidTr="00014C4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4896" w:type="dxa"/>
            <w:shd w:val="clear" w:color="auto" w:fill="8DB3E2" w:themeFill="text2" w:themeFillTint="66"/>
            <w:noWrap/>
            <w:hideMark/>
          </w:tcPr>
          <w:p w:rsidR="00985619" w:rsidRPr="00B76A3B" w:rsidRDefault="00985619" w:rsidP="00014C4C">
            <w:pPr>
              <w:ind w:firstLine="709"/>
              <w:jc w:val="both"/>
              <w:rPr>
                <w:rFonts w:eastAsiaTheme="minorHAnsi" w:cs="Times New Roman"/>
                <w:b/>
                <w:color w:val="auto"/>
                <w:szCs w:val="28"/>
              </w:rPr>
            </w:pPr>
            <w:r w:rsidRPr="00B76A3B">
              <w:rPr>
                <w:rFonts w:eastAsiaTheme="minorHAnsi" w:cs="Times New Roman"/>
                <w:b/>
                <w:color w:val="auto"/>
                <w:szCs w:val="28"/>
              </w:rPr>
              <w:t>Амбулаторные услуги</w:t>
            </w:r>
          </w:p>
        </w:tc>
        <w:tc>
          <w:tcPr>
            <w:tcW w:w="3969" w:type="dxa"/>
            <w:shd w:val="clear" w:color="auto" w:fill="8DB3E2" w:themeFill="text2" w:themeFillTint="66"/>
            <w:hideMark/>
          </w:tcPr>
          <w:p w:rsidR="00985619" w:rsidRPr="00B76A3B" w:rsidRDefault="00985619" w:rsidP="00014C4C">
            <w:pPr>
              <w:ind w:firstLine="709"/>
              <w:jc w:val="both"/>
              <w:cnfStyle w:val="000000100000" w:firstRow="0" w:lastRow="0" w:firstColumn="0" w:lastColumn="0" w:oddVBand="0" w:evenVBand="0" w:oddHBand="1" w:evenHBand="0" w:firstRowFirstColumn="0" w:firstRowLastColumn="0" w:lastRowFirstColumn="0" w:lastRowLastColumn="0"/>
              <w:rPr>
                <w:rFonts w:eastAsiaTheme="minorHAnsi" w:cs="Times New Roman"/>
                <w:b/>
                <w:color w:val="auto"/>
                <w:szCs w:val="28"/>
              </w:rPr>
            </w:pPr>
            <w:r w:rsidRPr="00B76A3B">
              <w:rPr>
                <w:rFonts w:eastAsiaTheme="minorHAnsi" w:cs="Times New Roman"/>
                <w:b/>
                <w:color w:val="auto"/>
                <w:szCs w:val="28"/>
              </w:rPr>
              <w:t> </w:t>
            </w:r>
          </w:p>
        </w:tc>
      </w:tr>
      <w:tr w:rsidR="00985619" w:rsidRPr="00B76A3B" w:rsidTr="00014C4C">
        <w:trPr>
          <w:trHeight w:val="255"/>
        </w:trPr>
        <w:tc>
          <w:tcPr>
            <w:cnfStyle w:val="001000000000" w:firstRow="0" w:lastRow="0" w:firstColumn="1" w:lastColumn="0" w:oddVBand="0" w:evenVBand="0" w:oddHBand="0" w:evenHBand="0" w:firstRowFirstColumn="0" w:firstRowLastColumn="0" w:lastRowFirstColumn="0" w:lastRowLastColumn="0"/>
            <w:tcW w:w="4896" w:type="dxa"/>
            <w:noWrap/>
            <w:hideMark/>
          </w:tcPr>
          <w:p w:rsidR="00985619" w:rsidRPr="00B76A3B" w:rsidRDefault="00985619" w:rsidP="00014C4C">
            <w:pPr>
              <w:ind w:firstLine="709"/>
              <w:jc w:val="both"/>
              <w:rPr>
                <w:rFonts w:eastAsiaTheme="minorHAnsi" w:cs="Times New Roman"/>
                <w:color w:val="auto"/>
                <w:szCs w:val="28"/>
              </w:rPr>
            </w:pPr>
            <w:r w:rsidRPr="00B76A3B">
              <w:rPr>
                <w:rFonts w:eastAsiaTheme="minorHAnsi" w:cs="Times New Roman"/>
                <w:color w:val="auto"/>
                <w:szCs w:val="28"/>
              </w:rPr>
              <w:t>Медицинские услуги</w:t>
            </w:r>
          </w:p>
        </w:tc>
        <w:tc>
          <w:tcPr>
            <w:tcW w:w="3969" w:type="dxa"/>
            <w:hideMark/>
          </w:tcPr>
          <w:p w:rsidR="00985619" w:rsidRPr="00B76A3B" w:rsidRDefault="00985619" w:rsidP="00014C4C">
            <w:pPr>
              <w:ind w:firstLine="709"/>
              <w:jc w:val="both"/>
              <w:cnfStyle w:val="000000000000" w:firstRow="0" w:lastRow="0" w:firstColumn="0" w:lastColumn="0" w:oddVBand="0" w:evenVBand="0" w:oddHBand="0" w:evenHBand="0" w:firstRowFirstColumn="0" w:firstRowLastColumn="0" w:lastRowFirstColumn="0" w:lastRowLastColumn="0"/>
              <w:rPr>
                <w:rFonts w:eastAsiaTheme="minorHAnsi" w:cs="Times New Roman"/>
                <w:color w:val="auto"/>
                <w:szCs w:val="28"/>
              </w:rPr>
            </w:pPr>
            <w:r w:rsidRPr="00B76A3B">
              <w:rPr>
                <w:rFonts w:eastAsiaTheme="minorHAnsi" w:cs="Times New Roman"/>
                <w:color w:val="auto"/>
                <w:szCs w:val="28"/>
              </w:rPr>
              <w:t>PPI Медицинские организации</w:t>
            </w:r>
          </w:p>
        </w:tc>
      </w:tr>
      <w:tr w:rsidR="00985619" w:rsidRPr="00B76A3B" w:rsidTr="00014C4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4896" w:type="dxa"/>
            <w:noWrap/>
            <w:hideMark/>
          </w:tcPr>
          <w:p w:rsidR="00985619" w:rsidRPr="00B76A3B" w:rsidRDefault="00985619" w:rsidP="00014C4C">
            <w:pPr>
              <w:ind w:firstLine="709"/>
              <w:jc w:val="both"/>
              <w:rPr>
                <w:rFonts w:eastAsiaTheme="minorHAnsi" w:cs="Times New Roman"/>
                <w:color w:val="auto"/>
                <w:szCs w:val="28"/>
              </w:rPr>
            </w:pPr>
            <w:r w:rsidRPr="00B76A3B">
              <w:rPr>
                <w:rFonts w:eastAsiaTheme="minorHAnsi" w:cs="Times New Roman"/>
                <w:color w:val="auto"/>
                <w:szCs w:val="28"/>
              </w:rPr>
              <w:t>Стоматологические услуги</w:t>
            </w:r>
          </w:p>
        </w:tc>
        <w:tc>
          <w:tcPr>
            <w:tcW w:w="3969" w:type="dxa"/>
            <w:hideMark/>
          </w:tcPr>
          <w:p w:rsidR="00985619" w:rsidRPr="00B76A3B" w:rsidRDefault="00985619" w:rsidP="00014C4C">
            <w:pPr>
              <w:ind w:firstLine="709"/>
              <w:jc w:val="both"/>
              <w:cnfStyle w:val="000000100000" w:firstRow="0" w:lastRow="0" w:firstColumn="0" w:lastColumn="0" w:oddVBand="0" w:evenVBand="0" w:oddHBand="1" w:evenHBand="0" w:firstRowFirstColumn="0" w:firstRowLastColumn="0" w:lastRowFirstColumn="0" w:lastRowLastColumn="0"/>
              <w:rPr>
                <w:rFonts w:eastAsiaTheme="minorHAnsi" w:cs="Times New Roman"/>
                <w:color w:val="auto"/>
                <w:szCs w:val="28"/>
              </w:rPr>
            </w:pPr>
            <w:r w:rsidRPr="00B76A3B">
              <w:rPr>
                <w:rFonts w:eastAsiaTheme="minorHAnsi" w:cs="Times New Roman"/>
                <w:color w:val="auto"/>
                <w:szCs w:val="28"/>
              </w:rPr>
              <w:t>CPI Стоматологии</w:t>
            </w:r>
          </w:p>
        </w:tc>
      </w:tr>
      <w:tr w:rsidR="00985619" w:rsidRPr="00B76A3B" w:rsidTr="00014C4C">
        <w:trPr>
          <w:trHeight w:val="255"/>
        </w:trPr>
        <w:tc>
          <w:tcPr>
            <w:cnfStyle w:val="001000000000" w:firstRow="0" w:lastRow="0" w:firstColumn="1" w:lastColumn="0" w:oddVBand="0" w:evenVBand="0" w:oddHBand="0" w:evenHBand="0" w:firstRowFirstColumn="0" w:firstRowLastColumn="0" w:lastRowFirstColumn="0" w:lastRowLastColumn="0"/>
            <w:tcW w:w="4896" w:type="dxa"/>
            <w:shd w:val="clear" w:color="auto" w:fill="8DB3E2" w:themeFill="text2" w:themeFillTint="66"/>
            <w:noWrap/>
            <w:hideMark/>
          </w:tcPr>
          <w:p w:rsidR="00985619" w:rsidRPr="00B76A3B" w:rsidRDefault="00985619" w:rsidP="00014C4C">
            <w:pPr>
              <w:ind w:firstLine="709"/>
              <w:jc w:val="both"/>
              <w:rPr>
                <w:rFonts w:eastAsiaTheme="minorHAnsi" w:cs="Times New Roman"/>
                <w:b/>
                <w:color w:val="auto"/>
                <w:szCs w:val="28"/>
              </w:rPr>
            </w:pPr>
            <w:r w:rsidRPr="00B76A3B">
              <w:rPr>
                <w:rFonts w:eastAsiaTheme="minorHAnsi" w:cs="Times New Roman"/>
                <w:b/>
                <w:color w:val="auto"/>
                <w:szCs w:val="28"/>
              </w:rPr>
              <w:t>Парамедицинские услуги</w:t>
            </w:r>
          </w:p>
        </w:tc>
        <w:tc>
          <w:tcPr>
            <w:tcW w:w="3969" w:type="dxa"/>
            <w:shd w:val="clear" w:color="auto" w:fill="8DB3E2" w:themeFill="text2" w:themeFillTint="66"/>
            <w:hideMark/>
          </w:tcPr>
          <w:p w:rsidR="00985619" w:rsidRPr="00B76A3B" w:rsidRDefault="00985619" w:rsidP="00014C4C">
            <w:pPr>
              <w:ind w:firstLine="709"/>
              <w:jc w:val="both"/>
              <w:cnfStyle w:val="000000000000" w:firstRow="0" w:lastRow="0" w:firstColumn="0" w:lastColumn="0" w:oddVBand="0" w:evenVBand="0" w:oddHBand="0" w:evenHBand="0" w:firstRowFirstColumn="0" w:firstRowLastColumn="0" w:lastRowFirstColumn="0" w:lastRowLastColumn="0"/>
              <w:rPr>
                <w:rFonts w:eastAsiaTheme="minorHAnsi" w:cs="Times New Roman"/>
                <w:b/>
                <w:color w:val="auto"/>
                <w:szCs w:val="28"/>
              </w:rPr>
            </w:pPr>
            <w:r w:rsidRPr="00B76A3B">
              <w:rPr>
                <w:rFonts w:eastAsiaTheme="minorHAnsi" w:cs="Times New Roman"/>
                <w:b/>
                <w:color w:val="auto"/>
                <w:szCs w:val="28"/>
              </w:rPr>
              <w:t> </w:t>
            </w:r>
          </w:p>
        </w:tc>
      </w:tr>
      <w:tr w:rsidR="00985619" w:rsidRPr="00B76A3B" w:rsidTr="00014C4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4896" w:type="dxa"/>
            <w:noWrap/>
            <w:hideMark/>
          </w:tcPr>
          <w:p w:rsidR="00985619" w:rsidRPr="00B76A3B" w:rsidRDefault="00985619" w:rsidP="00014C4C">
            <w:pPr>
              <w:ind w:firstLine="709"/>
              <w:jc w:val="both"/>
              <w:rPr>
                <w:rFonts w:eastAsiaTheme="minorHAnsi" w:cs="Times New Roman"/>
                <w:color w:val="auto"/>
                <w:szCs w:val="28"/>
              </w:rPr>
            </w:pPr>
            <w:r w:rsidRPr="00B76A3B">
              <w:rPr>
                <w:rFonts w:eastAsiaTheme="minorHAnsi" w:cs="Times New Roman"/>
                <w:color w:val="auto"/>
                <w:szCs w:val="28"/>
              </w:rPr>
              <w:t>Медицинские услуги на дому</w:t>
            </w:r>
          </w:p>
        </w:tc>
        <w:tc>
          <w:tcPr>
            <w:tcW w:w="3969" w:type="dxa"/>
            <w:hideMark/>
          </w:tcPr>
          <w:p w:rsidR="00985619" w:rsidRPr="00B76A3B" w:rsidRDefault="00985619" w:rsidP="00014C4C">
            <w:pPr>
              <w:ind w:firstLine="709"/>
              <w:jc w:val="both"/>
              <w:cnfStyle w:val="000000100000" w:firstRow="0" w:lastRow="0" w:firstColumn="0" w:lastColumn="0" w:oddVBand="0" w:evenVBand="0" w:oddHBand="1" w:evenHBand="0" w:firstRowFirstColumn="0" w:firstRowLastColumn="0" w:lastRowFirstColumn="0" w:lastRowLastColumn="0"/>
              <w:rPr>
                <w:rFonts w:eastAsiaTheme="minorHAnsi" w:cs="Times New Roman"/>
                <w:color w:val="auto"/>
                <w:szCs w:val="28"/>
                <w:lang w:val="en-US"/>
              </w:rPr>
            </w:pPr>
            <w:r w:rsidRPr="00B76A3B">
              <w:rPr>
                <w:rFonts w:eastAsiaTheme="minorHAnsi" w:cs="Times New Roman"/>
                <w:color w:val="auto"/>
                <w:szCs w:val="28"/>
                <w:lang w:val="en-US"/>
              </w:rPr>
              <w:t>PPI Домашние медицинские услуги</w:t>
            </w:r>
          </w:p>
        </w:tc>
      </w:tr>
      <w:tr w:rsidR="00985619" w:rsidRPr="00B76A3B" w:rsidTr="00014C4C">
        <w:trPr>
          <w:trHeight w:val="510"/>
        </w:trPr>
        <w:tc>
          <w:tcPr>
            <w:cnfStyle w:val="001000000000" w:firstRow="0" w:lastRow="0" w:firstColumn="1" w:lastColumn="0" w:oddVBand="0" w:evenVBand="0" w:oddHBand="0" w:evenHBand="0" w:firstRowFirstColumn="0" w:firstRowLastColumn="0" w:lastRowFirstColumn="0" w:lastRowLastColumn="0"/>
            <w:tcW w:w="4896" w:type="dxa"/>
            <w:noWrap/>
            <w:hideMark/>
          </w:tcPr>
          <w:p w:rsidR="00985619" w:rsidRPr="00B76A3B" w:rsidRDefault="00985619" w:rsidP="00014C4C">
            <w:pPr>
              <w:ind w:firstLine="709"/>
              <w:jc w:val="both"/>
              <w:rPr>
                <w:rFonts w:eastAsiaTheme="minorHAnsi" w:cs="Times New Roman"/>
                <w:color w:val="auto"/>
                <w:szCs w:val="28"/>
              </w:rPr>
            </w:pPr>
            <w:r w:rsidRPr="00B76A3B">
              <w:rPr>
                <w:rFonts w:eastAsiaTheme="minorHAnsi" w:cs="Times New Roman"/>
                <w:color w:val="auto"/>
                <w:szCs w:val="28"/>
              </w:rPr>
              <w:t>Медицинские лаборатории</w:t>
            </w:r>
          </w:p>
        </w:tc>
        <w:tc>
          <w:tcPr>
            <w:tcW w:w="3969" w:type="dxa"/>
            <w:hideMark/>
          </w:tcPr>
          <w:p w:rsidR="00985619" w:rsidRPr="00B76A3B" w:rsidRDefault="00985619" w:rsidP="00014C4C">
            <w:pPr>
              <w:ind w:firstLine="709"/>
              <w:jc w:val="both"/>
              <w:cnfStyle w:val="000000000000" w:firstRow="0" w:lastRow="0" w:firstColumn="0" w:lastColumn="0" w:oddVBand="0" w:evenVBand="0" w:oddHBand="0" w:evenHBand="0" w:firstRowFirstColumn="0" w:firstRowLastColumn="0" w:lastRowFirstColumn="0" w:lastRowLastColumn="0"/>
              <w:rPr>
                <w:rFonts w:eastAsiaTheme="minorHAnsi" w:cs="Times New Roman"/>
                <w:color w:val="auto"/>
                <w:szCs w:val="28"/>
              </w:rPr>
            </w:pPr>
            <w:r w:rsidRPr="00B76A3B">
              <w:rPr>
                <w:rFonts w:eastAsiaTheme="minorHAnsi" w:cs="Times New Roman"/>
                <w:color w:val="auto"/>
                <w:szCs w:val="28"/>
                <w:lang w:val="en-US"/>
              </w:rPr>
              <w:t>PPI</w:t>
            </w:r>
            <w:r w:rsidRPr="00B76A3B">
              <w:rPr>
                <w:rFonts w:eastAsiaTheme="minorHAnsi" w:cs="Times New Roman"/>
                <w:color w:val="auto"/>
                <w:szCs w:val="28"/>
              </w:rPr>
              <w:t xml:space="preserve"> для медицинских лабораторий и диагностических центров </w:t>
            </w:r>
          </w:p>
        </w:tc>
      </w:tr>
      <w:tr w:rsidR="00985619" w:rsidRPr="00B76A3B" w:rsidTr="00014C4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4896" w:type="dxa"/>
            <w:shd w:val="clear" w:color="auto" w:fill="8DB3E2" w:themeFill="text2" w:themeFillTint="66"/>
            <w:noWrap/>
            <w:hideMark/>
          </w:tcPr>
          <w:p w:rsidR="00985619" w:rsidRPr="00B76A3B" w:rsidRDefault="00985619" w:rsidP="00014C4C">
            <w:pPr>
              <w:ind w:firstLine="709"/>
              <w:jc w:val="both"/>
              <w:rPr>
                <w:rFonts w:eastAsiaTheme="minorHAnsi" w:cs="Times New Roman"/>
                <w:b/>
                <w:color w:val="auto"/>
                <w:szCs w:val="28"/>
              </w:rPr>
            </w:pPr>
            <w:r w:rsidRPr="00B76A3B">
              <w:rPr>
                <w:rFonts w:eastAsiaTheme="minorHAnsi" w:cs="Times New Roman"/>
                <w:b/>
                <w:color w:val="auto"/>
                <w:szCs w:val="28"/>
              </w:rPr>
              <w:t>Иные профессиональные медицинские услуги</w:t>
            </w:r>
          </w:p>
        </w:tc>
        <w:tc>
          <w:tcPr>
            <w:tcW w:w="3969" w:type="dxa"/>
            <w:shd w:val="clear" w:color="auto" w:fill="8DB3E2" w:themeFill="text2" w:themeFillTint="66"/>
            <w:hideMark/>
          </w:tcPr>
          <w:p w:rsidR="00985619" w:rsidRPr="00B76A3B" w:rsidRDefault="00985619" w:rsidP="00014C4C">
            <w:pPr>
              <w:ind w:firstLine="709"/>
              <w:jc w:val="both"/>
              <w:cnfStyle w:val="000000100000" w:firstRow="0" w:lastRow="0" w:firstColumn="0" w:lastColumn="0" w:oddVBand="0" w:evenVBand="0" w:oddHBand="1" w:evenHBand="0" w:firstRowFirstColumn="0" w:firstRowLastColumn="0" w:lastRowFirstColumn="0" w:lastRowLastColumn="0"/>
              <w:rPr>
                <w:rFonts w:eastAsiaTheme="minorHAnsi" w:cs="Times New Roman"/>
                <w:b/>
                <w:color w:val="auto"/>
                <w:szCs w:val="28"/>
              </w:rPr>
            </w:pPr>
            <w:r w:rsidRPr="00B76A3B">
              <w:rPr>
                <w:rFonts w:eastAsiaTheme="minorHAnsi" w:cs="Times New Roman"/>
                <w:b/>
                <w:color w:val="auto"/>
                <w:szCs w:val="28"/>
              </w:rPr>
              <w:t> </w:t>
            </w:r>
          </w:p>
        </w:tc>
      </w:tr>
      <w:tr w:rsidR="00985619" w:rsidRPr="00B76A3B" w:rsidTr="00014C4C">
        <w:trPr>
          <w:trHeight w:val="255"/>
        </w:trPr>
        <w:tc>
          <w:tcPr>
            <w:cnfStyle w:val="001000000000" w:firstRow="0" w:lastRow="0" w:firstColumn="1" w:lastColumn="0" w:oddVBand="0" w:evenVBand="0" w:oddHBand="0" w:evenHBand="0" w:firstRowFirstColumn="0" w:firstRowLastColumn="0" w:lastRowFirstColumn="0" w:lastRowLastColumn="0"/>
            <w:tcW w:w="4896" w:type="dxa"/>
            <w:noWrap/>
            <w:hideMark/>
          </w:tcPr>
          <w:p w:rsidR="00985619" w:rsidRPr="00B76A3B" w:rsidRDefault="00985619" w:rsidP="00014C4C">
            <w:pPr>
              <w:ind w:firstLine="709"/>
              <w:jc w:val="both"/>
              <w:rPr>
                <w:rFonts w:eastAsiaTheme="minorHAnsi" w:cs="Times New Roman"/>
                <w:color w:val="auto"/>
                <w:szCs w:val="28"/>
              </w:rPr>
            </w:pPr>
            <w:r w:rsidRPr="00B76A3B">
              <w:rPr>
                <w:rFonts w:eastAsiaTheme="minorHAnsi" w:cs="Times New Roman"/>
                <w:color w:val="auto"/>
                <w:szCs w:val="28"/>
              </w:rPr>
              <w:t>Специальные амбулаторные учреждения, медицинские и смежные услуги</w:t>
            </w:r>
          </w:p>
        </w:tc>
        <w:tc>
          <w:tcPr>
            <w:tcW w:w="3969" w:type="dxa"/>
            <w:hideMark/>
          </w:tcPr>
          <w:p w:rsidR="00985619" w:rsidRPr="00B76A3B" w:rsidRDefault="00985619" w:rsidP="00014C4C">
            <w:pPr>
              <w:ind w:firstLine="709"/>
              <w:jc w:val="both"/>
              <w:cnfStyle w:val="000000000000" w:firstRow="0" w:lastRow="0" w:firstColumn="0" w:lastColumn="0" w:oddVBand="0" w:evenVBand="0" w:oddHBand="0" w:evenHBand="0" w:firstRowFirstColumn="0" w:firstRowLastColumn="0" w:lastRowFirstColumn="0" w:lastRowLastColumn="0"/>
              <w:rPr>
                <w:rFonts w:eastAsiaTheme="minorHAnsi" w:cs="Times New Roman"/>
                <w:color w:val="auto"/>
                <w:szCs w:val="28"/>
              </w:rPr>
            </w:pPr>
            <w:r w:rsidRPr="00B76A3B">
              <w:rPr>
                <w:rFonts w:eastAsiaTheme="minorHAnsi" w:cs="Times New Roman"/>
                <w:color w:val="auto"/>
                <w:szCs w:val="28"/>
                <w:lang w:val="en-US"/>
              </w:rPr>
              <w:t>CPI</w:t>
            </w:r>
            <w:r w:rsidRPr="00B76A3B">
              <w:rPr>
                <w:rFonts w:eastAsiaTheme="minorHAnsi" w:cs="Times New Roman"/>
                <w:color w:val="auto"/>
                <w:szCs w:val="28"/>
              </w:rPr>
              <w:t xml:space="preserve"> Услуги других медицинских специалистов</w:t>
            </w:r>
          </w:p>
        </w:tc>
      </w:tr>
      <w:tr w:rsidR="00985619" w:rsidRPr="00B76A3B" w:rsidTr="00014C4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4896" w:type="dxa"/>
            <w:noWrap/>
            <w:hideMark/>
          </w:tcPr>
          <w:p w:rsidR="00985619" w:rsidRPr="00B76A3B" w:rsidRDefault="00985619" w:rsidP="00014C4C">
            <w:pPr>
              <w:ind w:firstLine="709"/>
              <w:jc w:val="both"/>
              <w:rPr>
                <w:rFonts w:eastAsiaTheme="minorHAnsi" w:cs="Times New Roman"/>
                <w:color w:val="auto"/>
                <w:szCs w:val="28"/>
              </w:rPr>
            </w:pPr>
            <w:r w:rsidRPr="00B76A3B">
              <w:rPr>
                <w:rFonts w:eastAsiaTheme="minorHAnsi" w:cs="Times New Roman"/>
                <w:color w:val="auto"/>
                <w:szCs w:val="28"/>
              </w:rPr>
              <w:t>Все прочие профессиональные медицинские услуги</w:t>
            </w:r>
          </w:p>
        </w:tc>
        <w:tc>
          <w:tcPr>
            <w:tcW w:w="3969" w:type="dxa"/>
            <w:hideMark/>
          </w:tcPr>
          <w:p w:rsidR="00985619" w:rsidRPr="00B76A3B" w:rsidRDefault="00985619" w:rsidP="00014C4C">
            <w:pPr>
              <w:ind w:firstLine="709"/>
              <w:jc w:val="both"/>
              <w:cnfStyle w:val="000000100000" w:firstRow="0" w:lastRow="0" w:firstColumn="0" w:lastColumn="0" w:oddVBand="0" w:evenVBand="0" w:oddHBand="1" w:evenHBand="0" w:firstRowFirstColumn="0" w:firstRowLastColumn="0" w:lastRowFirstColumn="0" w:lastRowLastColumn="0"/>
              <w:rPr>
                <w:rFonts w:eastAsiaTheme="minorHAnsi" w:cs="Times New Roman"/>
                <w:color w:val="auto"/>
                <w:szCs w:val="28"/>
              </w:rPr>
            </w:pPr>
            <w:r w:rsidRPr="00B76A3B">
              <w:rPr>
                <w:rFonts w:eastAsiaTheme="minorHAnsi" w:cs="Times New Roman"/>
                <w:color w:val="auto"/>
                <w:szCs w:val="28"/>
                <w:lang w:val="en-US"/>
              </w:rPr>
              <w:t>CPI</w:t>
            </w:r>
            <w:r w:rsidRPr="00B76A3B">
              <w:rPr>
                <w:rFonts w:eastAsiaTheme="minorHAnsi" w:cs="Times New Roman"/>
                <w:color w:val="auto"/>
                <w:szCs w:val="28"/>
              </w:rPr>
              <w:t xml:space="preserve"> Услуги других медицинских специалистов</w:t>
            </w:r>
          </w:p>
        </w:tc>
      </w:tr>
      <w:tr w:rsidR="00985619" w:rsidRPr="00B76A3B" w:rsidTr="00014C4C">
        <w:trPr>
          <w:trHeight w:val="255"/>
        </w:trPr>
        <w:tc>
          <w:tcPr>
            <w:cnfStyle w:val="001000000000" w:firstRow="0" w:lastRow="0" w:firstColumn="1" w:lastColumn="0" w:oddVBand="0" w:evenVBand="0" w:oddHBand="0" w:evenHBand="0" w:firstRowFirstColumn="0" w:firstRowLastColumn="0" w:lastRowFirstColumn="0" w:lastRowLastColumn="0"/>
            <w:tcW w:w="4896" w:type="dxa"/>
            <w:shd w:val="clear" w:color="auto" w:fill="8DB3E2" w:themeFill="text2" w:themeFillTint="66"/>
            <w:noWrap/>
            <w:hideMark/>
          </w:tcPr>
          <w:p w:rsidR="00985619" w:rsidRPr="00B76A3B" w:rsidRDefault="00985619" w:rsidP="00014C4C">
            <w:pPr>
              <w:ind w:firstLine="709"/>
              <w:jc w:val="both"/>
              <w:rPr>
                <w:rFonts w:eastAsiaTheme="minorHAnsi" w:cs="Times New Roman"/>
                <w:b/>
                <w:color w:val="auto"/>
                <w:szCs w:val="28"/>
              </w:rPr>
            </w:pPr>
            <w:r w:rsidRPr="00B76A3B">
              <w:rPr>
                <w:rFonts w:eastAsiaTheme="minorHAnsi" w:cs="Times New Roman"/>
                <w:b/>
                <w:color w:val="auto"/>
                <w:szCs w:val="28"/>
              </w:rPr>
              <w:t>Больницы</w:t>
            </w:r>
          </w:p>
        </w:tc>
        <w:tc>
          <w:tcPr>
            <w:tcW w:w="3969" w:type="dxa"/>
            <w:shd w:val="clear" w:color="auto" w:fill="8DB3E2" w:themeFill="text2" w:themeFillTint="66"/>
            <w:hideMark/>
          </w:tcPr>
          <w:p w:rsidR="00985619" w:rsidRPr="00B76A3B" w:rsidRDefault="00985619" w:rsidP="00014C4C">
            <w:pPr>
              <w:ind w:firstLine="709"/>
              <w:jc w:val="both"/>
              <w:cnfStyle w:val="000000000000" w:firstRow="0" w:lastRow="0" w:firstColumn="0" w:lastColumn="0" w:oddVBand="0" w:evenVBand="0" w:oddHBand="0" w:evenHBand="0" w:firstRowFirstColumn="0" w:firstRowLastColumn="0" w:lastRowFirstColumn="0" w:lastRowLastColumn="0"/>
              <w:rPr>
                <w:rFonts w:eastAsiaTheme="minorHAnsi" w:cs="Times New Roman"/>
                <w:b/>
                <w:color w:val="auto"/>
                <w:szCs w:val="28"/>
                <w:lang w:val="en-US"/>
              </w:rPr>
            </w:pPr>
            <w:r w:rsidRPr="00B76A3B">
              <w:rPr>
                <w:rFonts w:eastAsiaTheme="minorHAnsi" w:cs="Times New Roman"/>
                <w:b/>
                <w:color w:val="auto"/>
                <w:szCs w:val="28"/>
                <w:lang w:val="en-US"/>
              </w:rPr>
              <w:t> </w:t>
            </w:r>
          </w:p>
        </w:tc>
      </w:tr>
      <w:tr w:rsidR="00985619" w:rsidRPr="00B76A3B" w:rsidTr="00014C4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4896" w:type="dxa"/>
            <w:noWrap/>
            <w:hideMark/>
          </w:tcPr>
          <w:p w:rsidR="00985619" w:rsidRPr="00B76A3B" w:rsidRDefault="00985619" w:rsidP="00014C4C">
            <w:pPr>
              <w:ind w:firstLine="709"/>
              <w:jc w:val="both"/>
              <w:rPr>
                <w:rFonts w:eastAsiaTheme="minorHAnsi" w:cs="Times New Roman"/>
                <w:color w:val="auto"/>
                <w:szCs w:val="28"/>
              </w:rPr>
            </w:pPr>
            <w:r w:rsidRPr="00B76A3B">
              <w:rPr>
                <w:rFonts w:eastAsiaTheme="minorHAnsi" w:cs="Times New Roman"/>
                <w:color w:val="auto"/>
                <w:szCs w:val="28"/>
              </w:rPr>
              <w:lastRenderedPageBreak/>
              <w:t>Больницы</w:t>
            </w:r>
          </w:p>
        </w:tc>
        <w:tc>
          <w:tcPr>
            <w:tcW w:w="3969" w:type="dxa"/>
            <w:hideMark/>
          </w:tcPr>
          <w:p w:rsidR="00985619" w:rsidRPr="00B76A3B" w:rsidRDefault="00985619" w:rsidP="00014C4C">
            <w:pPr>
              <w:ind w:firstLine="709"/>
              <w:jc w:val="both"/>
              <w:cnfStyle w:val="000000100000" w:firstRow="0" w:lastRow="0" w:firstColumn="0" w:lastColumn="0" w:oddVBand="0" w:evenVBand="0" w:oddHBand="1" w:evenHBand="0" w:firstRowFirstColumn="0" w:firstRowLastColumn="0" w:lastRowFirstColumn="0" w:lastRowLastColumn="0"/>
              <w:rPr>
                <w:rFonts w:eastAsiaTheme="minorHAnsi" w:cs="Times New Roman"/>
                <w:color w:val="auto"/>
                <w:szCs w:val="28"/>
              </w:rPr>
            </w:pPr>
            <w:r w:rsidRPr="00B76A3B">
              <w:rPr>
                <w:rFonts w:eastAsiaTheme="minorHAnsi" w:cs="Times New Roman"/>
                <w:color w:val="auto"/>
                <w:szCs w:val="28"/>
              </w:rPr>
              <w:t> </w:t>
            </w:r>
          </w:p>
        </w:tc>
      </w:tr>
      <w:tr w:rsidR="00985619" w:rsidRPr="00B76A3B" w:rsidTr="00014C4C">
        <w:trPr>
          <w:trHeight w:val="255"/>
        </w:trPr>
        <w:tc>
          <w:tcPr>
            <w:cnfStyle w:val="001000000000" w:firstRow="0" w:lastRow="0" w:firstColumn="1" w:lastColumn="0" w:oddVBand="0" w:evenVBand="0" w:oddHBand="0" w:evenHBand="0" w:firstRowFirstColumn="0" w:firstRowLastColumn="0" w:lastRowFirstColumn="0" w:lastRowLastColumn="0"/>
            <w:tcW w:w="4896" w:type="dxa"/>
            <w:noWrap/>
            <w:hideMark/>
          </w:tcPr>
          <w:p w:rsidR="00985619" w:rsidRPr="00B76A3B" w:rsidRDefault="00985619" w:rsidP="00014C4C">
            <w:pPr>
              <w:ind w:firstLine="709"/>
              <w:jc w:val="both"/>
              <w:rPr>
                <w:rFonts w:eastAsiaTheme="minorHAnsi" w:cs="Times New Roman"/>
                <w:color w:val="auto"/>
                <w:szCs w:val="28"/>
              </w:rPr>
            </w:pPr>
            <w:r w:rsidRPr="00B76A3B">
              <w:rPr>
                <w:rFonts w:eastAsiaTheme="minorHAnsi" w:cs="Times New Roman"/>
                <w:color w:val="auto"/>
                <w:szCs w:val="28"/>
              </w:rPr>
              <w:t>Услуги некоммерческих больниц для домашних хозяйств</w:t>
            </w:r>
          </w:p>
        </w:tc>
        <w:tc>
          <w:tcPr>
            <w:tcW w:w="3969" w:type="dxa"/>
            <w:hideMark/>
          </w:tcPr>
          <w:p w:rsidR="00985619" w:rsidRPr="00B76A3B" w:rsidRDefault="00985619" w:rsidP="00014C4C">
            <w:pPr>
              <w:ind w:firstLine="709"/>
              <w:jc w:val="both"/>
              <w:cnfStyle w:val="000000000000" w:firstRow="0" w:lastRow="0" w:firstColumn="0" w:lastColumn="0" w:oddVBand="0" w:evenVBand="0" w:oddHBand="0" w:evenHBand="0" w:firstRowFirstColumn="0" w:firstRowLastColumn="0" w:lastRowFirstColumn="0" w:lastRowLastColumn="0"/>
              <w:rPr>
                <w:rFonts w:eastAsiaTheme="minorHAnsi" w:cs="Times New Roman"/>
                <w:color w:val="auto"/>
                <w:szCs w:val="28"/>
              </w:rPr>
            </w:pPr>
            <w:r w:rsidRPr="00B76A3B">
              <w:rPr>
                <w:rFonts w:eastAsiaTheme="minorHAnsi" w:cs="Times New Roman"/>
                <w:color w:val="auto"/>
                <w:szCs w:val="28"/>
              </w:rPr>
              <w:t>PPI Больниц</w:t>
            </w:r>
          </w:p>
        </w:tc>
      </w:tr>
      <w:tr w:rsidR="00985619" w:rsidRPr="00B76A3B" w:rsidTr="00014C4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4896" w:type="dxa"/>
            <w:noWrap/>
            <w:hideMark/>
          </w:tcPr>
          <w:p w:rsidR="00985619" w:rsidRPr="00B76A3B" w:rsidRDefault="00985619" w:rsidP="00014C4C">
            <w:pPr>
              <w:ind w:firstLine="709"/>
              <w:jc w:val="both"/>
              <w:rPr>
                <w:rFonts w:eastAsiaTheme="minorHAnsi" w:cs="Times New Roman"/>
                <w:color w:val="auto"/>
                <w:szCs w:val="28"/>
              </w:rPr>
            </w:pPr>
            <w:r w:rsidRPr="00B76A3B">
              <w:rPr>
                <w:rFonts w:eastAsiaTheme="minorHAnsi" w:cs="Times New Roman"/>
                <w:color w:val="auto"/>
                <w:szCs w:val="28"/>
              </w:rPr>
              <w:t>Частные больницы</w:t>
            </w:r>
          </w:p>
        </w:tc>
        <w:tc>
          <w:tcPr>
            <w:tcW w:w="3969" w:type="dxa"/>
            <w:hideMark/>
          </w:tcPr>
          <w:p w:rsidR="00985619" w:rsidRPr="00B76A3B" w:rsidRDefault="00985619" w:rsidP="00014C4C">
            <w:pPr>
              <w:ind w:firstLine="709"/>
              <w:jc w:val="both"/>
              <w:cnfStyle w:val="000000100000" w:firstRow="0" w:lastRow="0" w:firstColumn="0" w:lastColumn="0" w:oddVBand="0" w:evenVBand="0" w:oddHBand="1" w:evenHBand="0" w:firstRowFirstColumn="0" w:firstRowLastColumn="0" w:lastRowFirstColumn="0" w:lastRowLastColumn="0"/>
              <w:rPr>
                <w:rFonts w:eastAsiaTheme="minorHAnsi" w:cs="Times New Roman"/>
                <w:color w:val="auto"/>
                <w:szCs w:val="28"/>
              </w:rPr>
            </w:pPr>
            <w:r w:rsidRPr="00B76A3B">
              <w:rPr>
                <w:rFonts w:eastAsiaTheme="minorHAnsi" w:cs="Times New Roman"/>
                <w:color w:val="auto"/>
                <w:szCs w:val="28"/>
              </w:rPr>
              <w:t>PPI Больниц</w:t>
            </w:r>
          </w:p>
        </w:tc>
      </w:tr>
      <w:tr w:rsidR="00985619" w:rsidRPr="00B76A3B" w:rsidTr="00014C4C">
        <w:trPr>
          <w:trHeight w:val="255"/>
        </w:trPr>
        <w:tc>
          <w:tcPr>
            <w:cnfStyle w:val="001000000000" w:firstRow="0" w:lastRow="0" w:firstColumn="1" w:lastColumn="0" w:oddVBand="0" w:evenVBand="0" w:oddHBand="0" w:evenHBand="0" w:firstRowFirstColumn="0" w:firstRowLastColumn="0" w:lastRowFirstColumn="0" w:lastRowLastColumn="0"/>
            <w:tcW w:w="4896" w:type="dxa"/>
            <w:noWrap/>
            <w:hideMark/>
          </w:tcPr>
          <w:p w:rsidR="00985619" w:rsidRPr="00B76A3B" w:rsidRDefault="00985619" w:rsidP="00014C4C">
            <w:pPr>
              <w:ind w:firstLine="709"/>
              <w:jc w:val="both"/>
              <w:rPr>
                <w:rFonts w:eastAsiaTheme="minorHAnsi" w:cs="Times New Roman"/>
                <w:color w:val="auto"/>
                <w:szCs w:val="28"/>
              </w:rPr>
            </w:pPr>
            <w:r w:rsidRPr="00B76A3B">
              <w:rPr>
                <w:rFonts w:eastAsiaTheme="minorHAnsi" w:cs="Times New Roman"/>
                <w:color w:val="auto"/>
                <w:szCs w:val="28"/>
              </w:rPr>
              <w:t>Государственные больницы</w:t>
            </w:r>
          </w:p>
        </w:tc>
        <w:tc>
          <w:tcPr>
            <w:tcW w:w="3969" w:type="dxa"/>
            <w:hideMark/>
          </w:tcPr>
          <w:p w:rsidR="00985619" w:rsidRPr="00B76A3B" w:rsidRDefault="00985619" w:rsidP="00014C4C">
            <w:pPr>
              <w:ind w:firstLine="709"/>
              <w:jc w:val="both"/>
              <w:cnfStyle w:val="000000000000" w:firstRow="0" w:lastRow="0" w:firstColumn="0" w:lastColumn="0" w:oddVBand="0" w:evenVBand="0" w:oddHBand="0" w:evenHBand="0" w:firstRowFirstColumn="0" w:firstRowLastColumn="0" w:lastRowFirstColumn="0" w:lastRowLastColumn="0"/>
              <w:rPr>
                <w:rFonts w:eastAsiaTheme="minorHAnsi" w:cs="Times New Roman"/>
                <w:color w:val="auto"/>
                <w:szCs w:val="28"/>
              </w:rPr>
            </w:pPr>
            <w:r w:rsidRPr="00B76A3B">
              <w:rPr>
                <w:rFonts w:eastAsiaTheme="minorHAnsi" w:cs="Times New Roman"/>
                <w:color w:val="auto"/>
                <w:szCs w:val="28"/>
              </w:rPr>
              <w:t>PPI Больниц</w:t>
            </w:r>
          </w:p>
        </w:tc>
      </w:tr>
      <w:tr w:rsidR="00985619" w:rsidRPr="00B76A3B" w:rsidTr="00014C4C">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4896" w:type="dxa"/>
            <w:tcBorders>
              <w:bottom w:val="single" w:sz="4" w:space="0" w:color="auto"/>
            </w:tcBorders>
            <w:noWrap/>
            <w:hideMark/>
          </w:tcPr>
          <w:p w:rsidR="00985619" w:rsidRPr="00B76A3B" w:rsidRDefault="00985619" w:rsidP="00014C4C">
            <w:pPr>
              <w:ind w:firstLine="709"/>
              <w:jc w:val="both"/>
              <w:rPr>
                <w:rFonts w:eastAsiaTheme="minorHAnsi" w:cs="Times New Roman"/>
                <w:b/>
                <w:color w:val="auto"/>
                <w:szCs w:val="28"/>
              </w:rPr>
            </w:pPr>
            <w:r w:rsidRPr="00B76A3B">
              <w:rPr>
                <w:rFonts w:eastAsiaTheme="minorHAnsi" w:cs="Times New Roman"/>
                <w:b/>
                <w:color w:val="auto"/>
                <w:szCs w:val="28"/>
              </w:rPr>
              <w:t>Дома престарелых</w:t>
            </w:r>
          </w:p>
        </w:tc>
        <w:tc>
          <w:tcPr>
            <w:tcW w:w="3969" w:type="dxa"/>
            <w:tcBorders>
              <w:bottom w:val="single" w:sz="4" w:space="0" w:color="auto"/>
            </w:tcBorders>
            <w:hideMark/>
          </w:tcPr>
          <w:p w:rsidR="00985619" w:rsidRPr="00B76A3B" w:rsidRDefault="00985619" w:rsidP="00014C4C">
            <w:pPr>
              <w:ind w:firstLine="709"/>
              <w:jc w:val="both"/>
              <w:cnfStyle w:val="000000100000" w:firstRow="0" w:lastRow="0" w:firstColumn="0" w:lastColumn="0" w:oddVBand="0" w:evenVBand="0" w:oddHBand="1" w:evenHBand="0" w:firstRowFirstColumn="0" w:firstRowLastColumn="0" w:lastRowFirstColumn="0" w:lastRowLastColumn="0"/>
              <w:rPr>
                <w:rFonts w:eastAsiaTheme="minorHAnsi" w:cs="Times New Roman"/>
                <w:b/>
                <w:color w:val="auto"/>
                <w:szCs w:val="28"/>
              </w:rPr>
            </w:pPr>
            <w:r w:rsidRPr="00B76A3B">
              <w:rPr>
                <w:rFonts w:eastAsiaTheme="minorHAnsi" w:cs="Times New Roman"/>
                <w:b/>
                <w:color w:val="auto"/>
                <w:szCs w:val="28"/>
              </w:rPr>
              <w:t>PPI Уход за больными</w:t>
            </w:r>
          </w:p>
        </w:tc>
      </w:tr>
      <w:tr w:rsidR="00985619" w:rsidRPr="005A3A2E" w:rsidTr="00014C4C">
        <w:trPr>
          <w:trHeight w:val="255"/>
        </w:trPr>
        <w:tc>
          <w:tcPr>
            <w:cnfStyle w:val="001000000000" w:firstRow="0" w:lastRow="0" w:firstColumn="1" w:lastColumn="0" w:oddVBand="0" w:evenVBand="0" w:oddHBand="0" w:evenHBand="0" w:firstRowFirstColumn="0" w:firstRowLastColumn="0" w:lastRowFirstColumn="0" w:lastRowLastColumn="0"/>
            <w:tcW w:w="8865" w:type="dxa"/>
            <w:gridSpan w:val="2"/>
            <w:tcBorders>
              <w:top w:val="single" w:sz="4" w:space="0" w:color="auto"/>
              <w:left w:val="single" w:sz="4" w:space="0" w:color="auto"/>
              <w:bottom w:val="single" w:sz="4" w:space="0" w:color="auto"/>
              <w:right w:val="single" w:sz="4" w:space="0" w:color="auto"/>
            </w:tcBorders>
            <w:noWrap/>
          </w:tcPr>
          <w:p w:rsidR="00985619" w:rsidRPr="00B76A3B" w:rsidRDefault="00985619" w:rsidP="00014C4C">
            <w:pPr>
              <w:ind w:firstLine="709"/>
              <w:jc w:val="both"/>
              <w:rPr>
                <w:rFonts w:eastAsiaTheme="minorHAnsi" w:cs="Times New Roman"/>
                <w:i/>
                <w:color w:val="auto"/>
                <w:szCs w:val="28"/>
                <w:lang w:val="en-US"/>
              </w:rPr>
            </w:pPr>
            <w:r w:rsidRPr="00B76A3B">
              <w:rPr>
                <w:rFonts w:eastAsiaTheme="minorHAnsi" w:cs="Times New Roman"/>
                <w:i/>
                <w:color w:val="auto"/>
                <w:szCs w:val="28"/>
              </w:rPr>
              <w:t>Источник</w:t>
            </w:r>
            <w:r w:rsidRPr="00B76A3B">
              <w:rPr>
                <w:rFonts w:eastAsiaTheme="minorHAnsi" w:cs="Times New Roman"/>
                <w:i/>
                <w:color w:val="auto"/>
                <w:szCs w:val="28"/>
                <w:lang w:val="en-US"/>
              </w:rPr>
              <w:t xml:space="preserve">: </w:t>
            </w:r>
            <w:r w:rsidRPr="00B76A3B">
              <w:rPr>
                <w:rFonts w:eastAsiaTheme="minorHAnsi" w:cs="Times New Roman"/>
                <w:i/>
                <w:color w:val="auto"/>
                <w:szCs w:val="28"/>
              </w:rPr>
              <w:t>методология</w:t>
            </w:r>
            <w:r w:rsidRPr="00B76A3B">
              <w:rPr>
                <w:rFonts w:eastAsiaTheme="minorHAnsi" w:cs="Times New Roman"/>
                <w:i/>
                <w:color w:val="auto"/>
                <w:szCs w:val="28"/>
                <w:lang w:val="en-US"/>
              </w:rPr>
              <w:t xml:space="preserve"> Bureau of Economic Analysis  </w:t>
            </w:r>
            <w:hyperlink r:id="rId27" w:history="1">
              <w:r w:rsidRPr="00B76A3B">
                <w:rPr>
                  <w:rStyle w:val="a5"/>
                  <w:rFonts w:cs="Times New Roman"/>
                  <w:i/>
                  <w:lang w:val="en-US"/>
                </w:rPr>
                <w:t>https://www.bea.gov/regional/methods.cfm</w:t>
              </w:r>
            </w:hyperlink>
          </w:p>
        </w:tc>
      </w:tr>
    </w:tbl>
    <w:p w:rsidR="00985619" w:rsidRPr="00B76A3B" w:rsidRDefault="00985619" w:rsidP="00985619">
      <w:pPr>
        <w:spacing w:after="0" w:line="240" w:lineRule="auto"/>
        <w:ind w:firstLine="709"/>
        <w:jc w:val="both"/>
        <w:rPr>
          <w:rFonts w:cs="Times New Roman"/>
          <w:szCs w:val="28"/>
          <w:lang w:val="en-US"/>
        </w:rPr>
      </w:pPr>
    </w:p>
    <w:p w:rsidR="00985619" w:rsidRPr="00B76A3B" w:rsidRDefault="00985619" w:rsidP="00985619">
      <w:pPr>
        <w:spacing w:after="0" w:line="240" w:lineRule="auto"/>
        <w:ind w:firstLine="709"/>
        <w:jc w:val="both"/>
        <w:rPr>
          <w:rFonts w:cs="Times New Roman"/>
          <w:szCs w:val="28"/>
        </w:rPr>
      </w:pPr>
      <w:r w:rsidRPr="00B76A3B">
        <w:rPr>
          <w:rFonts w:cs="Times New Roman"/>
          <w:szCs w:val="28"/>
        </w:rPr>
        <w:t xml:space="preserve">Отдельно следует рассмотреть значение PPI (индекса цен производителей) для здравоохранения. </w:t>
      </w:r>
    </w:p>
    <w:p w:rsidR="00985619" w:rsidRPr="00B76A3B" w:rsidRDefault="00985619" w:rsidP="00985619">
      <w:pPr>
        <w:spacing w:after="0" w:line="240" w:lineRule="auto"/>
        <w:ind w:firstLine="709"/>
        <w:jc w:val="both"/>
        <w:rPr>
          <w:rFonts w:cs="Times New Roman"/>
          <w:szCs w:val="28"/>
        </w:rPr>
      </w:pPr>
      <w:r w:rsidRPr="00B76A3B">
        <w:rPr>
          <w:rFonts w:cs="Times New Roman"/>
          <w:szCs w:val="28"/>
        </w:rPr>
        <w:t xml:space="preserve">Поскольку индекс цен производителей является индексом с фиксированным набором весов, отслеживающий изменения в ценах, по которым продают свои товары национальные производители на оптовом уровне реализации, а также оказывают услуги местные производители, </w:t>
      </w:r>
      <w:r w:rsidRPr="00B76A3B">
        <w:rPr>
          <w:rFonts w:cs="Times New Roman"/>
          <w:b/>
          <w:szCs w:val="28"/>
          <w:u w:val="single"/>
        </w:rPr>
        <w:t>данный тип индекса несет больше информации о ценовой конъюнктуре на рынке медикаментов и медицинских услуг.</w:t>
      </w:r>
      <w:r w:rsidRPr="00B76A3B">
        <w:rPr>
          <w:rFonts w:cs="Times New Roman"/>
          <w:szCs w:val="28"/>
        </w:rPr>
        <w:t xml:space="preserve"> PPI охватывает все стадии производства: сырье, промежуточные стадии, готовую продукцию. Цены </w:t>
      </w:r>
      <w:r w:rsidRPr="00B76A3B">
        <w:rPr>
          <w:rFonts w:cs="Times New Roman"/>
          <w:i/>
          <w:szCs w:val="28"/>
          <w:u w:val="single"/>
        </w:rPr>
        <w:t>импортных товаров</w:t>
      </w:r>
      <w:r w:rsidRPr="00B76A3B">
        <w:rPr>
          <w:rFonts w:cs="Times New Roman"/>
          <w:szCs w:val="28"/>
        </w:rPr>
        <w:t xml:space="preserve"> в него не входят, </w:t>
      </w:r>
      <w:r w:rsidRPr="00B76A3B">
        <w:rPr>
          <w:rFonts w:cs="Times New Roman"/>
          <w:i/>
          <w:szCs w:val="28"/>
          <w:u w:val="single"/>
        </w:rPr>
        <w:t>но оказывают влияние на него через цены импортируемого сырья и комплектующих</w:t>
      </w:r>
      <w:r w:rsidRPr="00B76A3B">
        <w:rPr>
          <w:rFonts w:cs="Times New Roman"/>
          <w:szCs w:val="28"/>
        </w:rPr>
        <w:t xml:space="preserve">. </w:t>
      </w:r>
    </w:p>
    <w:p w:rsidR="00985619" w:rsidRPr="00B76A3B" w:rsidRDefault="00985619" w:rsidP="00985619">
      <w:pPr>
        <w:spacing w:after="0" w:line="240" w:lineRule="auto"/>
        <w:ind w:firstLine="709"/>
        <w:jc w:val="both"/>
        <w:rPr>
          <w:rFonts w:cs="Times New Roman"/>
          <w:szCs w:val="28"/>
        </w:rPr>
      </w:pPr>
      <w:r w:rsidRPr="00B76A3B">
        <w:rPr>
          <w:rFonts w:cs="Times New Roman"/>
          <w:szCs w:val="28"/>
        </w:rPr>
        <w:t>В зависимости от степени охвата элементов выборочной совокупности производится расчет индивидуальных и агрегированных индексов цен.</w:t>
      </w:r>
    </w:p>
    <w:p w:rsidR="00985619" w:rsidRPr="00B76A3B" w:rsidRDefault="00985619" w:rsidP="00985619">
      <w:pPr>
        <w:spacing w:after="0" w:line="240" w:lineRule="auto"/>
        <w:ind w:firstLine="709"/>
        <w:jc w:val="both"/>
        <w:rPr>
          <w:rFonts w:cs="Times New Roman"/>
          <w:szCs w:val="28"/>
        </w:rPr>
      </w:pPr>
      <w:r w:rsidRPr="00B76A3B">
        <w:rPr>
          <w:rFonts w:cs="Times New Roman"/>
          <w:szCs w:val="28"/>
        </w:rPr>
        <w:t>Индивидуальный индекс</w:t>
      </w:r>
      <w:r w:rsidRPr="00B76A3B">
        <w:rPr>
          <w:rFonts w:cs="Times New Roman"/>
          <w:szCs w:val="28"/>
          <w:lang w:val="kk-KZ"/>
        </w:rPr>
        <w:t xml:space="preserve"> цен по </w:t>
      </w:r>
      <w:r w:rsidRPr="00B76A3B">
        <w:rPr>
          <w:rFonts w:cs="Times New Roman"/>
          <w:szCs w:val="28"/>
        </w:rPr>
        <w:t>услугам-представителям исчисляется в виде отношения цен, зарегистрированных в базовых объектах по формуле:</w:t>
      </w:r>
    </w:p>
    <w:p w:rsidR="00985619" w:rsidRPr="00B76A3B" w:rsidRDefault="00985619" w:rsidP="00985619">
      <w:pPr>
        <w:spacing w:after="0" w:line="240" w:lineRule="auto"/>
        <w:ind w:firstLine="709"/>
        <w:jc w:val="center"/>
        <w:rPr>
          <w:rFonts w:cs="Times New Roman"/>
          <w:szCs w:val="28"/>
        </w:rPr>
      </w:pPr>
      <w:r w:rsidRPr="00B76A3B">
        <w:rPr>
          <w:rFonts w:cs="Times New Roman"/>
          <w:bCs/>
          <w:szCs w:val="28"/>
        </w:rPr>
        <w:object w:dxaOrig="800" w:dyaOrig="7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1.5pt;height:56.25pt" o:ole="" fillcolor="window">
            <v:imagedata r:id="rId28" o:title=""/>
          </v:shape>
          <o:OLEObject Type="Embed" ProgID="Equation.3" ShapeID="_x0000_i1025" DrawAspect="Content" ObjectID="_1607242704" r:id="rId29"/>
        </w:object>
      </w:r>
      <w:r w:rsidRPr="00B76A3B">
        <w:rPr>
          <w:rFonts w:cs="Times New Roman"/>
          <w:szCs w:val="28"/>
        </w:rPr>
        <w:t>,</w:t>
      </w:r>
    </w:p>
    <w:p w:rsidR="00985619" w:rsidRPr="00B76A3B" w:rsidRDefault="00985619" w:rsidP="00985619">
      <w:pPr>
        <w:spacing w:after="0" w:line="240" w:lineRule="auto"/>
        <w:ind w:firstLine="709"/>
        <w:jc w:val="both"/>
        <w:rPr>
          <w:rFonts w:cs="Times New Roman"/>
          <w:i/>
          <w:iCs/>
          <w:szCs w:val="28"/>
        </w:rPr>
      </w:pPr>
      <w:r w:rsidRPr="00B76A3B">
        <w:rPr>
          <w:rFonts w:cs="Times New Roman"/>
          <w:szCs w:val="28"/>
        </w:rPr>
        <w:t>где:</w:t>
      </w:r>
    </w:p>
    <w:p w:rsidR="00985619" w:rsidRPr="00B76A3B" w:rsidRDefault="00985619" w:rsidP="00985619">
      <w:pPr>
        <w:spacing w:after="0" w:line="240" w:lineRule="auto"/>
        <w:ind w:firstLine="709"/>
        <w:jc w:val="both"/>
        <w:rPr>
          <w:rFonts w:cs="Times New Roman"/>
          <w:szCs w:val="28"/>
        </w:rPr>
      </w:pPr>
      <w:r w:rsidRPr="00B76A3B">
        <w:rPr>
          <w:rFonts w:cs="Times New Roman"/>
          <w:i/>
          <w:iCs/>
          <w:szCs w:val="28"/>
        </w:rPr>
        <w:t>ἱ</w:t>
      </w:r>
      <w:r w:rsidRPr="00B76A3B">
        <w:rPr>
          <w:rFonts w:cs="Times New Roman"/>
          <w:i/>
          <w:iCs/>
          <w:szCs w:val="28"/>
          <w:vertAlign w:val="subscript"/>
          <w:lang w:val="en-US"/>
        </w:rPr>
        <w:t>t</w:t>
      </w:r>
      <w:r w:rsidRPr="00B76A3B">
        <w:rPr>
          <w:rFonts w:cs="Times New Roman"/>
          <w:i/>
          <w:iCs/>
          <w:szCs w:val="28"/>
          <w:vertAlign w:val="subscript"/>
        </w:rPr>
        <w:t xml:space="preserve"> j</w:t>
      </w:r>
      <w:r w:rsidRPr="00B76A3B">
        <w:rPr>
          <w:rFonts w:cs="Times New Roman"/>
          <w:szCs w:val="28"/>
          <w:lang w:val="kk-KZ"/>
        </w:rPr>
        <w:t>–</w:t>
      </w:r>
      <w:r w:rsidRPr="00B76A3B">
        <w:rPr>
          <w:rFonts w:cs="Times New Roman"/>
          <w:szCs w:val="28"/>
        </w:rPr>
        <w:t xml:space="preserve">       индивидуальный индекс цен на разновидность услуги </w:t>
      </w:r>
      <w:r w:rsidRPr="00B76A3B">
        <w:rPr>
          <w:rFonts w:cs="Times New Roman"/>
          <w:i/>
          <w:iCs/>
          <w:szCs w:val="28"/>
        </w:rPr>
        <w:t>j</w:t>
      </w:r>
      <w:r w:rsidRPr="00B76A3B">
        <w:rPr>
          <w:rFonts w:cs="Times New Roman"/>
          <w:szCs w:val="28"/>
        </w:rPr>
        <w:t>;</w:t>
      </w:r>
    </w:p>
    <w:p w:rsidR="00985619" w:rsidRPr="00B76A3B" w:rsidRDefault="00985619" w:rsidP="00985619">
      <w:pPr>
        <w:spacing w:after="0" w:line="240" w:lineRule="auto"/>
        <w:ind w:firstLine="709"/>
        <w:jc w:val="both"/>
        <w:rPr>
          <w:rFonts w:cs="Times New Roman"/>
          <w:szCs w:val="28"/>
        </w:rPr>
      </w:pPr>
      <w:r w:rsidRPr="00B76A3B">
        <w:rPr>
          <w:rFonts w:cs="Times New Roman"/>
          <w:i/>
          <w:iCs/>
          <w:szCs w:val="28"/>
        </w:rPr>
        <w:t>P</w:t>
      </w:r>
      <w:r w:rsidRPr="00B76A3B">
        <w:rPr>
          <w:rFonts w:cs="Times New Roman"/>
          <w:i/>
          <w:iCs/>
          <w:szCs w:val="28"/>
          <w:vertAlign w:val="subscript"/>
        </w:rPr>
        <w:t>t</w:t>
      </w:r>
      <w:r w:rsidRPr="00B76A3B">
        <w:rPr>
          <w:rFonts w:cs="Times New Roman"/>
          <w:i/>
          <w:iCs/>
          <w:szCs w:val="28"/>
          <w:vertAlign w:val="subscript"/>
          <w:lang w:val="en-US"/>
        </w:rPr>
        <w:t>j</w:t>
      </w:r>
      <w:r w:rsidRPr="00B76A3B">
        <w:rPr>
          <w:rFonts w:cs="Times New Roman"/>
          <w:szCs w:val="28"/>
          <w:lang w:val="kk-KZ"/>
        </w:rPr>
        <w:t>–</w:t>
      </w:r>
      <w:r w:rsidRPr="00B76A3B">
        <w:rPr>
          <w:rFonts w:cs="Times New Roman"/>
          <w:szCs w:val="28"/>
        </w:rPr>
        <w:t xml:space="preserve">    цена на разновидность услуги </w:t>
      </w:r>
      <w:r w:rsidRPr="00B76A3B">
        <w:rPr>
          <w:rFonts w:cs="Times New Roman"/>
          <w:i/>
          <w:iCs/>
          <w:szCs w:val="28"/>
        </w:rPr>
        <w:t>j</w:t>
      </w:r>
      <w:r w:rsidRPr="00B76A3B">
        <w:rPr>
          <w:rFonts w:cs="Times New Roman"/>
          <w:szCs w:val="28"/>
        </w:rPr>
        <w:t xml:space="preserve"> в отчетном периоде </w:t>
      </w:r>
      <w:r w:rsidRPr="00B76A3B">
        <w:rPr>
          <w:rFonts w:cs="Times New Roman"/>
          <w:i/>
          <w:iCs/>
          <w:szCs w:val="28"/>
        </w:rPr>
        <w:t>t;</w:t>
      </w:r>
    </w:p>
    <w:p w:rsidR="00985619" w:rsidRPr="00B76A3B" w:rsidRDefault="00985619" w:rsidP="00985619">
      <w:pPr>
        <w:spacing w:after="0" w:line="240" w:lineRule="auto"/>
        <w:ind w:firstLine="709"/>
        <w:jc w:val="both"/>
        <w:rPr>
          <w:rFonts w:cs="Times New Roman"/>
          <w:szCs w:val="28"/>
        </w:rPr>
      </w:pPr>
      <w:r w:rsidRPr="00B76A3B">
        <w:rPr>
          <w:rFonts w:cs="Times New Roman"/>
          <w:i/>
          <w:iCs/>
          <w:szCs w:val="28"/>
        </w:rPr>
        <w:t>P</w:t>
      </w:r>
      <w:r w:rsidRPr="00B76A3B">
        <w:rPr>
          <w:rFonts w:cs="Times New Roman"/>
          <w:i/>
          <w:iCs/>
          <w:szCs w:val="28"/>
          <w:vertAlign w:val="subscript"/>
        </w:rPr>
        <w:t>(</w:t>
      </w:r>
      <w:r w:rsidRPr="00B76A3B">
        <w:rPr>
          <w:rFonts w:cs="Times New Roman"/>
          <w:i/>
          <w:iCs/>
          <w:szCs w:val="28"/>
          <w:vertAlign w:val="subscript"/>
          <w:lang w:val="en-US"/>
        </w:rPr>
        <w:t>b</w:t>
      </w:r>
      <w:r w:rsidRPr="00B76A3B">
        <w:rPr>
          <w:rFonts w:cs="Times New Roman"/>
          <w:i/>
          <w:iCs/>
          <w:szCs w:val="28"/>
          <w:vertAlign w:val="subscript"/>
        </w:rPr>
        <w:t>)</w:t>
      </w:r>
      <w:r w:rsidRPr="00B76A3B">
        <w:rPr>
          <w:rFonts w:cs="Times New Roman"/>
          <w:i/>
          <w:iCs/>
          <w:szCs w:val="28"/>
          <w:vertAlign w:val="subscript"/>
          <w:lang w:val="en-US"/>
        </w:rPr>
        <w:t>j</w:t>
      </w:r>
      <w:r w:rsidRPr="00B76A3B">
        <w:rPr>
          <w:rFonts w:cs="Times New Roman"/>
          <w:szCs w:val="28"/>
        </w:rPr>
        <w:t xml:space="preserve">  – цена на разновидность услуги </w:t>
      </w:r>
      <w:r w:rsidRPr="00B76A3B">
        <w:rPr>
          <w:rFonts w:cs="Times New Roman"/>
          <w:i/>
          <w:iCs/>
          <w:szCs w:val="28"/>
        </w:rPr>
        <w:t>j</w:t>
      </w:r>
      <w:r w:rsidRPr="00B76A3B">
        <w:rPr>
          <w:rFonts w:cs="Times New Roman"/>
          <w:szCs w:val="28"/>
        </w:rPr>
        <w:t xml:space="preserve"> в базисном периоде </w:t>
      </w:r>
      <w:r w:rsidRPr="00B76A3B">
        <w:rPr>
          <w:rFonts w:cs="Times New Roman"/>
          <w:i/>
          <w:iCs/>
          <w:szCs w:val="28"/>
          <w:lang w:val="en-US"/>
        </w:rPr>
        <w:t>b</w:t>
      </w:r>
      <w:r w:rsidRPr="00B76A3B">
        <w:rPr>
          <w:rFonts w:cs="Times New Roman"/>
          <w:szCs w:val="28"/>
        </w:rPr>
        <w:t>.</w:t>
      </w:r>
    </w:p>
    <w:p w:rsidR="00985619" w:rsidRPr="00B76A3B" w:rsidRDefault="00985619" w:rsidP="00985619">
      <w:pPr>
        <w:spacing w:after="0" w:line="240" w:lineRule="auto"/>
        <w:ind w:firstLine="709"/>
        <w:jc w:val="both"/>
        <w:rPr>
          <w:rFonts w:cs="Times New Roman"/>
          <w:szCs w:val="28"/>
        </w:rPr>
      </w:pPr>
      <w:r w:rsidRPr="00B76A3B">
        <w:rPr>
          <w:rFonts w:cs="Times New Roman"/>
          <w:szCs w:val="28"/>
        </w:rPr>
        <w:t>Расчет индивидуального индекса цен по видам услуг производится по формуле простой (невзвешенной) средней геометрической индивидуальных индексов цен по услугам-представителям (индекс Джевонса):</w:t>
      </w:r>
    </w:p>
    <w:p w:rsidR="00985619" w:rsidRPr="00B76A3B" w:rsidRDefault="00985619" w:rsidP="00985619">
      <w:pPr>
        <w:spacing w:after="0" w:line="240" w:lineRule="auto"/>
        <w:ind w:firstLine="709"/>
        <w:jc w:val="center"/>
        <w:rPr>
          <w:rFonts w:cs="Times New Roman"/>
          <w:szCs w:val="28"/>
        </w:rPr>
      </w:pPr>
      <w:r w:rsidRPr="00B76A3B">
        <w:rPr>
          <w:rFonts w:cs="Times New Roman"/>
          <w:bCs/>
          <w:i/>
          <w:iCs/>
          <w:szCs w:val="28"/>
          <w:lang w:val="en-US"/>
        </w:rPr>
        <w:object w:dxaOrig="1820" w:dyaOrig="420">
          <v:shape id="_x0000_i1026" type="#_x0000_t75" style="width:210.75pt;height:39pt" o:ole="" fillcolor="window">
            <v:imagedata r:id="rId30" o:title=""/>
          </v:shape>
          <o:OLEObject Type="Embed" ProgID="Equation.3" ShapeID="_x0000_i1026" DrawAspect="Content" ObjectID="_1607242705" r:id="rId31"/>
        </w:object>
      </w:r>
      <w:r w:rsidRPr="00B76A3B">
        <w:rPr>
          <w:rFonts w:cs="Times New Roman"/>
          <w:szCs w:val="28"/>
        </w:rPr>
        <w:t>,</w:t>
      </w:r>
    </w:p>
    <w:p w:rsidR="00985619" w:rsidRPr="00B76A3B" w:rsidRDefault="00985619" w:rsidP="00985619">
      <w:pPr>
        <w:spacing w:after="0" w:line="240" w:lineRule="auto"/>
        <w:ind w:firstLine="709"/>
        <w:jc w:val="both"/>
        <w:rPr>
          <w:rFonts w:cs="Times New Roman"/>
          <w:szCs w:val="28"/>
        </w:rPr>
      </w:pPr>
      <w:r w:rsidRPr="00B76A3B">
        <w:rPr>
          <w:rFonts w:cs="Times New Roman"/>
          <w:szCs w:val="28"/>
        </w:rPr>
        <w:t xml:space="preserve">где: </w:t>
      </w:r>
    </w:p>
    <w:p w:rsidR="00985619" w:rsidRPr="00B76A3B" w:rsidRDefault="00985619" w:rsidP="00985619">
      <w:pPr>
        <w:spacing w:after="0" w:line="240" w:lineRule="auto"/>
        <w:ind w:firstLine="709"/>
        <w:jc w:val="both"/>
        <w:rPr>
          <w:rFonts w:cs="Times New Roman"/>
          <w:i/>
          <w:iCs/>
          <w:szCs w:val="28"/>
        </w:rPr>
      </w:pPr>
      <w:r w:rsidRPr="00B76A3B">
        <w:rPr>
          <w:rFonts w:cs="Times New Roman"/>
          <w:i/>
          <w:iCs/>
          <w:szCs w:val="28"/>
          <w:lang w:val="en-US"/>
        </w:rPr>
        <w:t>I</w:t>
      </w:r>
      <w:r w:rsidRPr="00B76A3B">
        <w:rPr>
          <w:rFonts w:cs="Times New Roman"/>
          <w:i/>
          <w:iCs/>
          <w:szCs w:val="28"/>
          <w:vertAlign w:val="subscript"/>
          <w:lang w:val="en-US"/>
        </w:rPr>
        <w:t>j</w:t>
      </w:r>
      <w:r w:rsidRPr="00B76A3B">
        <w:rPr>
          <w:rFonts w:cs="Times New Roman"/>
          <w:szCs w:val="28"/>
        </w:rPr>
        <w:t xml:space="preserve">– индивидуальный индекс цен на вид услуги </w:t>
      </w:r>
      <w:r w:rsidRPr="00B76A3B">
        <w:rPr>
          <w:rFonts w:cs="Times New Roman"/>
          <w:i/>
          <w:iCs/>
          <w:szCs w:val="28"/>
          <w:lang w:val="en-US"/>
        </w:rPr>
        <w:t>j</w:t>
      </w:r>
      <w:r w:rsidRPr="00B76A3B">
        <w:rPr>
          <w:rFonts w:cs="Times New Roman"/>
          <w:szCs w:val="28"/>
        </w:rPr>
        <w:t>;</w:t>
      </w:r>
    </w:p>
    <w:p w:rsidR="00985619" w:rsidRPr="00B76A3B" w:rsidRDefault="00985619" w:rsidP="00985619">
      <w:pPr>
        <w:spacing w:after="0" w:line="240" w:lineRule="auto"/>
        <w:ind w:firstLine="709"/>
        <w:jc w:val="both"/>
        <w:rPr>
          <w:rFonts w:cs="Times New Roman"/>
          <w:szCs w:val="28"/>
          <w:lang w:val="kk-KZ"/>
        </w:rPr>
      </w:pPr>
      <w:r w:rsidRPr="00B76A3B">
        <w:rPr>
          <w:rFonts w:cs="Times New Roman"/>
          <w:i/>
          <w:iCs/>
          <w:szCs w:val="28"/>
          <w:lang w:val="kk-KZ"/>
        </w:rPr>
        <w:t>i</w:t>
      </w:r>
      <w:r w:rsidRPr="00B76A3B">
        <w:rPr>
          <w:rFonts w:cs="Times New Roman"/>
          <w:i/>
          <w:iCs/>
          <w:szCs w:val="28"/>
          <w:vertAlign w:val="subscript"/>
          <w:lang w:val="kk-KZ"/>
        </w:rPr>
        <w:t>1,</w:t>
      </w:r>
      <w:r w:rsidRPr="00B76A3B">
        <w:rPr>
          <w:rFonts w:cs="Times New Roman"/>
          <w:i/>
          <w:iCs/>
          <w:szCs w:val="28"/>
          <w:lang w:val="kk-KZ"/>
        </w:rPr>
        <w:t xml:space="preserve"> i</w:t>
      </w:r>
      <w:r w:rsidRPr="00B76A3B">
        <w:rPr>
          <w:rFonts w:cs="Times New Roman"/>
          <w:i/>
          <w:iCs/>
          <w:szCs w:val="28"/>
          <w:vertAlign w:val="subscript"/>
          <w:lang w:val="kk-KZ"/>
        </w:rPr>
        <w:t>2,</w:t>
      </w:r>
      <w:r w:rsidRPr="00B76A3B">
        <w:rPr>
          <w:rFonts w:cs="Times New Roman"/>
          <w:i/>
          <w:iCs/>
          <w:szCs w:val="28"/>
          <w:lang w:val="kk-KZ"/>
        </w:rPr>
        <w:t>…, i</w:t>
      </w:r>
      <w:r w:rsidRPr="00B76A3B">
        <w:rPr>
          <w:rFonts w:cs="Times New Roman"/>
          <w:i/>
          <w:iCs/>
          <w:szCs w:val="28"/>
          <w:vertAlign w:val="subscript"/>
          <w:lang w:val="kk-KZ"/>
        </w:rPr>
        <w:t xml:space="preserve">k </w:t>
      </w:r>
      <w:r w:rsidRPr="00B76A3B">
        <w:rPr>
          <w:rFonts w:cs="Times New Roman"/>
          <w:szCs w:val="28"/>
        </w:rPr>
        <w:t>–</w:t>
      </w:r>
      <w:r w:rsidRPr="00B76A3B">
        <w:rPr>
          <w:rFonts w:cs="Times New Roman"/>
          <w:szCs w:val="28"/>
          <w:lang w:val="kk-KZ"/>
        </w:rPr>
        <w:t xml:space="preserve"> индивидуальны</w:t>
      </w:r>
      <w:r w:rsidRPr="00B76A3B">
        <w:rPr>
          <w:rFonts w:cs="Times New Roman"/>
          <w:szCs w:val="28"/>
        </w:rPr>
        <w:t>е</w:t>
      </w:r>
      <w:r w:rsidRPr="00B76A3B">
        <w:rPr>
          <w:rFonts w:cs="Times New Roman"/>
          <w:szCs w:val="28"/>
          <w:lang w:val="kk-KZ"/>
        </w:rPr>
        <w:t>индексы цен по услугам-представителям;</w:t>
      </w:r>
    </w:p>
    <w:p w:rsidR="00985619" w:rsidRPr="00B76A3B" w:rsidRDefault="00985619" w:rsidP="00985619">
      <w:pPr>
        <w:spacing w:after="0" w:line="240" w:lineRule="auto"/>
        <w:ind w:firstLine="709"/>
        <w:jc w:val="both"/>
        <w:rPr>
          <w:rFonts w:cs="Times New Roman"/>
          <w:szCs w:val="28"/>
        </w:rPr>
      </w:pPr>
      <w:r w:rsidRPr="00B76A3B">
        <w:rPr>
          <w:rFonts w:cs="Times New Roman"/>
          <w:i/>
          <w:iCs/>
          <w:szCs w:val="28"/>
          <w:lang w:val="en-US"/>
        </w:rPr>
        <w:t>k</w:t>
      </w:r>
      <w:r w:rsidRPr="00B76A3B">
        <w:rPr>
          <w:rFonts w:cs="Times New Roman"/>
          <w:szCs w:val="28"/>
        </w:rPr>
        <w:t xml:space="preserve"> – число услуг-представителей.</w:t>
      </w:r>
    </w:p>
    <w:p w:rsidR="00985619" w:rsidRPr="00B76A3B" w:rsidRDefault="00985619" w:rsidP="00985619">
      <w:pPr>
        <w:spacing w:after="0" w:line="240" w:lineRule="auto"/>
        <w:ind w:firstLine="709"/>
        <w:jc w:val="both"/>
        <w:rPr>
          <w:rFonts w:cs="Times New Roman"/>
          <w:szCs w:val="28"/>
        </w:rPr>
      </w:pPr>
      <w:r w:rsidRPr="00B76A3B">
        <w:rPr>
          <w:rFonts w:cs="Times New Roman"/>
          <w:szCs w:val="28"/>
        </w:rPr>
        <w:t xml:space="preserve">Для обеспечения репрезентативности, расчет индекса цен осуществляется при наличии не менее трех цен на одну услугу у различных базовых предприятий в отчетном периоде. </w:t>
      </w:r>
    </w:p>
    <w:p w:rsidR="00985619" w:rsidRPr="00B76A3B" w:rsidRDefault="00985619" w:rsidP="00985619">
      <w:pPr>
        <w:spacing w:after="0" w:line="240" w:lineRule="auto"/>
        <w:ind w:firstLine="709"/>
        <w:jc w:val="both"/>
        <w:rPr>
          <w:rFonts w:cs="Times New Roman"/>
          <w:szCs w:val="28"/>
        </w:rPr>
      </w:pPr>
      <w:r w:rsidRPr="00B76A3B">
        <w:rPr>
          <w:rFonts w:cs="Times New Roman"/>
          <w:szCs w:val="28"/>
        </w:rPr>
        <w:lastRenderedPageBreak/>
        <w:t xml:space="preserve">На всех последующих этапах индивидуальные индексы цен в соответствии с иерархической структурой классификации и с использованием соответствующих весов объединяются в индексы более высокого уровня           – агрегированные индексы. </w:t>
      </w:r>
    </w:p>
    <w:p w:rsidR="00985619" w:rsidRPr="00B76A3B" w:rsidRDefault="00985619" w:rsidP="00985619">
      <w:pPr>
        <w:spacing w:after="0" w:line="240" w:lineRule="auto"/>
        <w:ind w:firstLine="709"/>
        <w:jc w:val="both"/>
        <w:rPr>
          <w:rFonts w:cs="Times New Roman"/>
          <w:szCs w:val="28"/>
        </w:rPr>
      </w:pPr>
      <w:r w:rsidRPr="00B76A3B">
        <w:rPr>
          <w:rFonts w:cs="Times New Roman"/>
          <w:szCs w:val="28"/>
        </w:rPr>
        <w:t xml:space="preserve">Для расчета индексов цен на более высоких уровнях агрегации (класс, группа, раздел, </w:t>
      </w:r>
      <w:r w:rsidRPr="00B76A3B">
        <w:rPr>
          <w:rFonts w:cs="Times New Roman"/>
          <w:szCs w:val="28"/>
          <w:lang w:val="kk-KZ"/>
        </w:rPr>
        <w:t>секция</w:t>
      </w:r>
      <w:r w:rsidRPr="00B76A3B">
        <w:rPr>
          <w:rFonts w:cs="Times New Roman"/>
          <w:szCs w:val="28"/>
        </w:rPr>
        <w:t>) используется модифицированный вариант формулы Ласпейреса, позволяющий исчислять индексы на основе последовательных наблюдений за изменением цен, взвешенных через постоянную схему взвешивания:</w:t>
      </w:r>
    </w:p>
    <w:p w:rsidR="00985619" w:rsidRPr="00B76A3B" w:rsidRDefault="00985619" w:rsidP="00985619">
      <w:pPr>
        <w:spacing w:after="0" w:line="240" w:lineRule="auto"/>
        <w:ind w:firstLine="709"/>
        <w:jc w:val="center"/>
        <w:rPr>
          <w:rFonts w:cs="Times New Roman"/>
          <w:szCs w:val="28"/>
        </w:rPr>
      </w:pPr>
      <w:r w:rsidRPr="00B76A3B">
        <w:rPr>
          <w:rFonts w:cs="Times New Roman"/>
          <w:szCs w:val="28"/>
          <w:lang w:val="en-US"/>
        </w:rPr>
        <w:object w:dxaOrig="2040" w:dyaOrig="1060">
          <v:shape id="_x0000_i1027" type="#_x0000_t75" style="width:124.5pt;height:65.25pt" o:ole="" fillcolor="window">
            <v:imagedata r:id="rId32" o:title=""/>
          </v:shape>
          <o:OLEObject Type="Embed" ProgID="Equation.3" ShapeID="_x0000_i1027" DrawAspect="Content" ObjectID="_1607242706" r:id="rId33"/>
        </w:object>
      </w:r>
      <w:r w:rsidRPr="00B76A3B">
        <w:rPr>
          <w:rFonts w:cs="Times New Roman"/>
          <w:szCs w:val="28"/>
          <w:lang w:val="kk-KZ"/>
        </w:rPr>
        <w:t>,</w:t>
      </w:r>
    </w:p>
    <w:p w:rsidR="00985619" w:rsidRPr="00B76A3B" w:rsidRDefault="00985619" w:rsidP="00985619">
      <w:pPr>
        <w:spacing w:after="0" w:line="240" w:lineRule="auto"/>
        <w:ind w:firstLine="709"/>
        <w:jc w:val="both"/>
        <w:rPr>
          <w:rFonts w:cs="Times New Roman"/>
          <w:iCs/>
          <w:szCs w:val="28"/>
          <w:lang w:val="kk-KZ"/>
        </w:rPr>
      </w:pPr>
      <w:r w:rsidRPr="00B76A3B">
        <w:rPr>
          <w:rFonts w:cs="Times New Roman"/>
          <w:iCs/>
          <w:szCs w:val="28"/>
          <w:lang w:val="kk-KZ"/>
        </w:rPr>
        <w:t>где:</w:t>
      </w:r>
    </w:p>
    <w:p w:rsidR="00985619" w:rsidRPr="00B76A3B" w:rsidRDefault="00985619" w:rsidP="00985619">
      <w:pPr>
        <w:spacing w:after="0" w:line="240" w:lineRule="auto"/>
        <w:ind w:firstLine="709"/>
        <w:jc w:val="both"/>
        <w:rPr>
          <w:rFonts w:cs="Times New Roman"/>
          <w:szCs w:val="28"/>
        </w:rPr>
      </w:pPr>
      <w:r w:rsidRPr="00B76A3B">
        <w:rPr>
          <w:rFonts w:cs="Times New Roman"/>
          <w:szCs w:val="28"/>
        </w:rPr>
        <w:object w:dxaOrig="260" w:dyaOrig="340">
          <v:shape id="_x0000_i1028" type="#_x0000_t75" style="width:12.75pt;height:17.25pt" o:ole="">
            <v:imagedata r:id="rId34" o:title=""/>
          </v:shape>
          <o:OLEObject Type="Embed" ProgID="Equation.3" ShapeID="_x0000_i1028" DrawAspect="Content" ObjectID="_1607242707" r:id="rId35"/>
        </w:object>
      </w:r>
      <w:r w:rsidRPr="00B76A3B">
        <w:rPr>
          <w:rFonts w:cs="Times New Roman"/>
          <w:szCs w:val="28"/>
          <w:lang w:val="kk-KZ"/>
        </w:rPr>
        <w:t>–</w:t>
      </w:r>
      <w:r w:rsidRPr="00B76A3B">
        <w:rPr>
          <w:rFonts w:cs="Times New Roman"/>
          <w:szCs w:val="28"/>
        </w:rPr>
        <w:t xml:space="preserve"> индекс цен за отчетный период </w:t>
      </w:r>
      <w:r w:rsidRPr="00B76A3B">
        <w:rPr>
          <w:rFonts w:cs="Times New Roman"/>
          <w:i/>
          <w:iCs/>
          <w:szCs w:val="28"/>
          <w:lang w:val="en-US"/>
        </w:rPr>
        <w:t>t</w:t>
      </w:r>
      <w:r w:rsidRPr="00B76A3B">
        <w:rPr>
          <w:rFonts w:cs="Times New Roman"/>
          <w:szCs w:val="28"/>
        </w:rPr>
        <w:t xml:space="preserve"> относительно базисного</w:t>
      </w:r>
      <w:r w:rsidRPr="00B76A3B">
        <w:rPr>
          <w:rFonts w:cs="Times New Roman"/>
          <w:szCs w:val="28"/>
          <w:lang w:val="kk-KZ"/>
        </w:rPr>
        <w:t xml:space="preserve"> месяца (квартала)</w:t>
      </w:r>
      <w:r w:rsidRPr="00B76A3B">
        <w:rPr>
          <w:rFonts w:cs="Times New Roman"/>
          <w:szCs w:val="28"/>
        </w:rPr>
        <w:t>;</w:t>
      </w:r>
    </w:p>
    <w:p w:rsidR="00985619" w:rsidRPr="00B76A3B" w:rsidRDefault="00985619" w:rsidP="00985619">
      <w:pPr>
        <w:spacing w:after="0" w:line="240" w:lineRule="auto"/>
        <w:ind w:firstLine="709"/>
        <w:jc w:val="both"/>
        <w:rPr>
          <w:rFonts w:cs="Times New Roman"/>
          <w:szCs w:val="28"/>
        </w:rPr>
      </w:pPr>
      <w:r w:rsidRPr="00B76A3B">
        <w:rPr>
          <w:rFonts w:cs="Times New Roman"/>
          <w:szCs w:val="28"/>
        </w:rPr>
        <w:object w:dxaOrig="340" w:dyaOrig="700">
          <v:shape id="_x0000_i1029" type="#_x0000_t75" style="width:17.25pt;height:35.25pt" o:ole="">
            <v:imagedata r:id="rId36" o:title=""/>
          </v:shape>
          <o:OLEObject Type="Embed" ProgID="Equation.3" ShapeID="_x0000_i1029" DrawAspect="Content" ObjectID="_1607242708" r:id="rId37"/>
        </w:object>
      </w:r>
      <w:r w:rsidRPr="00B76A3B">
        <w:rPr>
          <w:rFonts w:cs="Times New Roman"/>
          <w:szCs w:val="28"/>
          <w:lang w:val="kk-KZ"/>
        </w:rPr>
        <w:t xml:space="preserve"> –</w:t>
      </w:r>
      <w:r w:rsidRPr="00B76A3B">
        <w:rPr>
          <w:rFonts w:cs="Times New Roman"/>
          <w:szCs w:val="28"/>
        </w:rPr>
        <w:t xml:space="preserve"> индивидуальный индекс цен на вид услуги;</w:t>
      </w:r>
    </w:p>
    <w:p w:rsidR="00985619" w:rsidRPr="00B76A3B" w:rsidRDefault="00985619" w:rsidP="00985619">
      <w:pPr>
        <w:spacing w:after="0" w:line="240" w:lineRule="auto"/>
        <w:ind w:firstLine="709"/>
        <w:jc w:val="both"/>
        <w:rPr>
          <w:rFonts w:cs="Times New Roman"/>
          <w:szCs w:val="28"/>
        </w:rPr>
      </w:pPr>
      <w:r w:rsidRPr="00B76A3B">
        <w:rPr>
          <w:rFonts w:cs="Times New Roman"/>
          <w:szCs w:val="28"/>
        </w:rPr>
        <w:object w:dxaOrig="499" w:dyaOrig="360">
          <v:shape id="_x0000_i1030" type="#_x0000_t75" style="width:24.75pt;height:17.25pt" o:ole="">
            <v:imagedata r:id="rId38" o:title=""/>
          </v:shape>
          <o:OLEObject Type="Embed" ProgID="Equation.3" ShapeID="_x0000_i1030" DrawAspect="Content" ObjectID="_1607242709" r:id="rId39"/>
        </w:object>
      </w:r>
      <w:r w:rsidRPr="00B76A3B">
        <w:rPr>
          <w:rFonts w:cs="Times New Roman"/>
          <w:szCs w:val="28"/>
        </w:rPr>
        <w:t xml:space="preserve"> – </w:t>
      </w:r>
      <w:r w:rsidRPr="00B76A3B">
        <w:rPr>
          <w:rFonts w:cs="Times New Roman"/>
          <w:szCs w:val="28"/>
          <w:lang w:val="kk-KZ"/>
        </w:rPr>
        <w:t xml:space="preserve">стоимость оказанных </w:t>
      </w:r>
      <w:r w:rsidRPr="00B76A3B">
        <w:rPr>
          <w:rFonts w:cs="Times New Roman"/>
          <w:szCs w:val="28"/>
        </w:rPr>
        <w:t>услуг в ценах базисного года, принимаемая в качестве стандартных весов для агрегирования;</w:t>
      </w:r>
    </w:p>
    <w:p w:rsidR="00985619" w:rsidRDefault="00985619" w:rsidP="00985619">
      <w:pPr>
        <w:spacing w:after="0" w:line="240" w:lineRule="auto"/>
        <w:ind w:firstLine="709"/>
        <w:jc w:val="both"/>
        <w:rPr>
          <w:rFonts w:cs="Times New Roman"/>
          <w:szCs w:val="28"/>
        </w:rPr>
      </w:pPr>
    </w:p>
    <w:p w:rsidR="00985619" w:rsidRDefault="00985619" w:rsidP="00985619">
      <w:pPr>
        <w:spacing w:after="0" w:line="240" w:lineRule="auto"/>
        <w:ind w:firstLine="709"/>
        <w:jc w:val="both"/>
        <w:rPr>
          <w:rFonts w:cs="Times New Roman"/>
          <w:szCs w:val="28"/>
        </w:rPr>
      </w:pPr>
    </w:p>
    <w:p w:rsidR="00985619" w:rsidRDefault="00985619" w:rsidP="00985619">
      <w:pPr>
        <w:spacing w:after="0" w:line="240" w:lineRule="auto"/>
        <w:ind w:firstLine="709"/>
        <w:jc w:val="both"/>
        <w:rPr>
          <w:rFonts w:cs="Times New Roman"/>
          <w:szCs w:val="28"/>
        </w:rPr>
      </w:pPr>
    </w:p>
    <w:p w:rsidR="00985619" w:rsidRDefault="00985619" w:rsidP="00985619">
      <w:pPr>
        <w:spacing w:after="0" w:line="240" w:lineRule="auto"/>
        <w:ind w:firstLine="709"/>
        <w:jc w:val="both"/>
        <w:rPr>
          <w:rFonts w:cs="Times New Roman"/>
          <w:szCs w:val="28"/>
        </w:rPr>
      </w:pPr>
    </w:p>
    <w:p w:rsidR="00985619" w:rsidRDefault="00985619" w:rsidP="00985619">
      <w:pPr>
        <w:spacing w:after="0" w:line="240" w:lineRule="auto"/>
        <w:ind w:firstLine="709"/>
        <w:jc w:val="both"/>
        <w:rPr>
          <w:rFonts w:cs="Times New Roman"/>
          <w:szCs w:val="28"/>
        </w:rPr>
      </w:pPr>
    </w:p>
    <w:p w:rsidR="00985619" w:rsidRDefault="00985619" w:rsidP="00985619">
      <w:pPr>
        <w:spacing w:after="0" w:line="240" w:lineRule="auto"/>
        <w:ind w:firstLine="709"/>
        <w:jc w:val="both"/>
        <w:rPr>
          <w:rFonts w:cs="Times New Roman"/>
          <w:szCs w:val="28"/>
        </w:rPr>
      </w:pPr>
    </w:p>
    <w:p w:rsidR="00985619" w:rsidRDefault="00985619" w:rsidP="00985619">
      <w:pPr>
        <w:spacing w:after="0" w:line="240" w:lineRule="auto"/>
        <w:ind w:firstLine="709"/>
        <w:jc w:val="both"/>
        <w:rPr>
          <w:rFonts w:cs="Times New Roman"/>
          <w:szCs w:val="28"/>
        </w:rPr>
      </w:pPr>
    </w:p>
    <w:p w:rsidR="00985619" w:rsidRDefault="00985619" w:rsidP="00985619">
      <w:pPr>
        <w:spacing w:after="0" w:line="240" w:lineRule="auto"/>
        <w:ind w:firstLine="709"/>
        <w:jc w:val="both"/>
        <w:rPr>
          <w:rFonts w:cs="Times New Roman"/>
          <w:szCs w:val="28"/>
        </w:rPr>
      </w:pPr>
    </w:p>
    <w:p w:rsidR="00985619" w:rsidRDefault="00985619" w:rsidP="00985619">
      <w:pPr>
        <w:spacing w:after="0" w:line="240" w:lineRule="auto"/>
        <w:ind w:firstLine="709"/>
        <w:jc w:val="both"/>
        <w:rPr>
          <w:rFonts w:cs="Times New Roman"/>
          <w:szCs w:val="28"/>
        </w:rPr>
      </w:pPr>
    </w:p>
    <w:p w:rsidR="00985619" w:rsidRDefault="00985619" w:rsidP="00985619">
      <w:pPr>
        <w:spacing w:after="0" w:line="240" w:lineRule="auto"/>
        <w:ind w:firstLine="709"/>
        <w:jc w:val="both"/>
        <w:rPr>
          <w:rFonts w:cs="Times New Roman"/>
          <w:szCs w:val="28"/>
        </w:rPr>
      </w:pPr>
    </w:p>
    <w:p w:rsidR="00985619" w:rsidRDefault="00985619" w:rsidP="00985619">
      <w:pPr>
        <w:spacing w:after="0" w:line="240" w:lineRule="auto"/>
        <w:ind w:firstLine="709"/>
        <w:jc w:val="both"/>
        <w:rPr>
          <w:rFonts w:cs="Times New Roman"/>
          <w:szCs w:val="28"/>
        </w:rPr>
      </w:pPr>
    </w:p>
    <w:p w:rsidR="00985619" w:rsidRDefault="00985619" w:rsidP="00985619">
      <w:pPr>
        <w:spacing w:after="0" w:line="240" w:lineRule="auto"/>
        <w:ind w:firstLine="709"/>
        <w:jc w:val="both"/>
        <w:rPr>
          <w:rFonts w:cs="Times New Roman"/>
          <w:szCs w:val="28"/>
        </w:rPr>
      </w:pPr>
    </w:p>
    <w:p w:rsidR="00985619" w:rsidRDefault="00985619" w:rsidP="00985619">
      <w:pPr>
        <w:spacing w:after="0" w:line="240" w:lineRule="auto"/>
        <w:ind w:firstLine="709"/>
        <w:jc w:val="both"/>
        <w:rPr>
          <w:rFonts w:cs="Times New Roman"/>
          <w:szCs w:val="28"/>
        </w:rPr>
      </w:pPr>
    </w:p>
    <w:p w:rsidR="00985619" w:rsidRDefault="00985619" w:rsidP="00985619">
      <w:pPr>
        <w:spacing w:after="0" w:line="240" w:lineRule="auto"/>
        <w:ind w:firstLine="709"/>
        <w:jc w:val="both"/>
        <w:rPr>
          <w:rFonts w:cs="Times New Roman"/>
          <w:szCs w:val="28"/>
        </w:rPr>
      </w:pPr>
    </w:p>
    <w:p w:rsidR="00985619" w:rsidRDefault="00985619" w:rsidP="00985619">
      <w:pPr>
        <w:spacing w:after="0" w:line="240" w:lineRule="auto"/>
        <w:ind w:firstLine="709"/>
        <w:jc w:val="both"/>
        <w:rPr>
          <w:rFonts w:cs="Times New Roman"/>
          <w:szCs w:val="28"/>
        </w:rPr>
      </w:pPr>
    </w:p>
    <w:p w:rsidR="00985619" w:rsidRDefault="00985619" w:rsidP="00985619">
      <w:pPr>
        <w:spacing w:after="0" w:line="240" w:lineRule="auto"/>
        <w:ind w:firstLine="709"/>
        <w:jc w:val="both"/>
        <w:rPr>
          <w:rFonts w:cs="Times New Roman"/>
          <w:szCs w:val="28"/>
        </w:rPr>
      </w:pPr>
    </w:p>
    <w:p w:rsidR="00985619" w:rsidRDefault="00985619" w:rsidP="00985619">
      <w:pPr>
        <w:spacing w:after="0" w:line="240" w:lineRule="auto"/>
        <w:ind w:firstLine="709"/>
        <w:jc w:val="both"/>
        <w:rPr>
          <w:rFonts w:cs="Times New Roman"/>
          <w:szCs w:val="28"/>
        </w:rPr>
      </w:pPr>
    </w:p>
    <w:p w:rsidR="00985619" w:rsidRDefault="00985619" w:rsidP="00985619">
      <w:pPr>
        <w:spacing w:after="0" w:line="240" w:lineRule="auto"/>
        <w:ind w:firstLine="709"/>
        <w:jc w:val="both"/>
        <w:rPr>
          <w:rFonts w:cs="Times New Roman"/>
          <w:szCs w:val="28"/>
        </w:rPr>
      </w:pPr>
    </w:p>
    <w:p w:rsidR="00985619" w:rsidRDefault="00985619" w:rsidP="00985619">
      <w:pPr>
        <w:pStyle w:val="2"/>
        <w:ind w:firstLine="708"/>
      </w:pPr>
      <w:bookmarkStart w:id="7" w:name="_Toc518904376"/>
      <w:r w:rsidRPr="00CA7CF3">
        <w:t>Методология оценки уровня медицинской инфляции</w:t>
      </w:r>
      <w:bookmarkEnd w:id="7"/>
    </w:p>
    <w:p w:rsidR="00985619" w:rsidRPr="00002A2A" w:rsidRDefault="00985619" w:rsidP="00985619">
      <w:pPr>
        <w:spacing w:after="0" w:line="240" w:lineRule="auto"/>
        <w:ind w:firstLine="709"/>
        <w:jc w:val="both"/>
        <w:rPr>
          <w:rFonts w:cs="Times New Roman"/>
          <w:sz w:val="16"/>
          <w:szCs w:val="28"/>
        </w:rPr>
      </w:pPr>
    </w:p>
    <w:p w:rsidR="00985619" w:rsidRPr="00B76A3B" w:rsidRDefault="00985619" w:rsidP="00985619">
      <w:pPr>
        <w:spacing w:after="0" w:line="240" w:lineRule="auto"/>
        <w:ind w:firstLine="709"/>
        <w:jc w:val="both"/>
        <w:rPr>
          <w:rFonts w:cs="Times New Roman"/>
          <w:szCs w:val="28"/>
        </w:rPr>
      </w:pPr>
      <w:r w:rsidRPr="00B76A3B">
        <w:rPr>
          <w:rFonts w:cs="Times New Roman"/>
          <w:szCs w:val="28"/>
        </w:rPr>
        <w:t>Таким образом, оценка медицинской инфляции должна быть комплексной и проходит</w:t>
      </w:r>
      <w:r>
        <w:rPr>
          <w:rFonts w:cs="Times New Roman"/>
          <w:szCs w:val="28"/>
        </w:rPr>
        <w:t>ь в соответствии со следующими методическими рекомендациями:</w:t>
      </w:r>
    </w:p>
    <w:p w:rsidR="00985619" w:rsidRPr="00B76A3B" w:rsidRDefault="00985619" w:rsidP="00985619">
      <w:pPr>
        <w:spacing w:after="0" w:line="240" w:lineRule="auto"/>
        <w:ind w:firstLine="709"/>
        <w:jc w:val="both"/>
        <w:rPr>
          <w:rFonts w:cs="Times New Roman"/>
          <w:szCs w:val="28"/>
        </w:rPr>
      </w:pPr>
      <w:r w:rsidRPr="00B76A3B">
        <w:rPr>
          <w:rFonts w:cs="Times New Roman"/>
          <w:b/>
          <w:szCs w:val="28"/>
        </w:rPr>
        <w:lastRenderedPageBreak/>
        <w:t>1. Ежемесячная оценка ИПЦ (включая ИПЦ с накоплением) с целью отслеживания динамики цен на рынке потребительских товаров.</w:t>
      </w:r>
      <w:r w:rsidRPr="00B76A3B">
        <w:rPr>
          <w:rFonts w:cs="Times New Roman"/>
          <w:szCs w:val="28"/>
        </w:rPr>
        <w:t xml:space="preserve"> ИПЦ является важным экономическим показателем, поскольку он отображает инфляцию с точки зрения потребителей, что делает его значимым экономическим индикатором. Для центральных банков он становится важным фактором при принятии решений по процентным ставкам.</w:t>
      </w:r>
    </w:p>
    <w:p w:rsidR="00985619" w:rsidRPr="00B76A3B" w:rsidRDefault="00985619" w:rsidP="00985619">
      <w:pPr>
        <w:spacing w:after="0" w:line="240" w:lineRule="auto"/>
        <w:ind w:firstLine="709"/>
        <w:jc w:val="both"/>
        <w:rPr>
          <w:rFonts w:cs="Times New Roman"/>
          <w:szCs w:val="28"/>
        </w:rPr>
      </w:pPr>
      <w:r w:rsidRPr="00B76A3B">
        <w:rPr>
          <w:rFonts w:cs="Times New Roman"/>
          <w:szCs w:val="28"/>
        </w:rPr>
        <w:t>Индекс, как правило, рассчитывается ежеквартально или ежемесячно и представляет собой средневзвешенное значение различных статей расходов потребителей, каждая из которых, в свою очередь, также вычислена по средневзвешенному принципу.</w:t>
      </w:r>
    </w:p>
    <w:p w:rsidR="00985619" w:rsidRPr="00B76A3B" w:rsidRDefault="00985619" w:rsidP="00985619">
      <w:pPr>
        <w:spacing w:after="0" w:line="240" w:lineRule="auto"/>
        <w:ind w:firstLine="709"/>
        <w:jc w:val="both"/>
        <w:rPr>
          <w:rFonts w:cs="Times New Roman"/>
          <w:szCs w:val="28"/>
        </w:rPr>
      </w:pPr>
      <w:r w:rsidRPr="00B76A3B">
        <w:rPr>
          <w:rFonts w:cs="Times New Roman"/>
          <w:szCs w:val="28"/>
        </w:rPr>
        <w:t>Расчет и анализ ИПЦ с накоплением позволяет оценить сформированный уровень инфляции, накопленный с базового периода, и выявить во сколько раз возросли цены и детализировать по компонентам.</w:t>
      </w:r>
    </w:p>
    <w:p w:rsidR="00985619" w:rsidRPr="00B76A3B" w:rsidRDefault="00985619" w:rsidP="00985619">
      <w:pPr>
        <w:spacing w:after="0" w:line="240" w:lineRule="auto"/>
        <w:ind w:firstLine="709"/>
        <w:jc w:val="both"/>
        <w:rPr>
          <w:rFonts w:cs="Times New Roman"/>
          <w:szCs w:val="28"/>
        </w:rPr>
      </w:pPr>
      <w:r w:rsidRPr="00B76A3B">
        <w:rPr>
          <w:rFonts w:cs="Times New Roman"/>
          <w:b/>
          <w:szCs w:val="28"/>
        </w:rPr>
        <w:t>2. Ежемесячная оценка индекса цен производителей (ИЦП), в том числе с накоплением, для формирования данных об уровне цен с позиции производства</w:t>
      </w:r>
      <w:r w:rsidRPr="00B76A3B">
        <w:rPr>
          <w:rFonts w:cs="Times New Roman"/>
          <w:szCs w:val="28"/>
        </w:rPr>
        <w:t>. Для аналитических целей оценки уровня инфляции считаем необходимым анализ и оценку индекса цен производителей, в том числе производителей услуг, рассчитанный для здравоохранения. Данный ти</w:t>
      </w:r>
      <w:r>
        <w:rPr>
          <w:rFonts w:cs="Times New Roman"/>
          <w:szCs w:val="28"/>
        </w:rPr>
        <w:t>п</w:t>
      </w:r>
      <w:r w:rsidRPr="00B76A3B">
        <w:rPr>
          <w:rFonts w:cs="Times New Roman"/>
          <w:szCs w:val="28"/>
        </w:rPr>
        <w:t xml:space="preserve"> ценовых индексов позволяет оценить рост цен непосредственно до их входа на потребительский рынок, т.е. сформировать опережающий индекс цен на продукцию и услуги. Кроме того, индекс цен производителей отражает то, насколько изменилась покупательная сила национальной валюты, а также демонстрирует, как рост цен на сырье и материалы отражается на различных этапах производства. Для получения более устойчивых показателей для анализа использую</w:t>
      </w:r>
      <w:r>
        <w:rPr>
          <w:rFonts w:cs="Times New Roman"/>
          <w:szCs w:val="28"/>
        </w:rPr>
        <w:t>т стержневой и</w:t>
      </w:r>
      <w:r w:rsidRPr="00B76A3B">
        <w:rPr>
          <w:rFonts w:cs="Times New Roman"/>
          <w:szCs w:val="28"/>
        </w:rPr>
        <w:t>ндекс цен производителей (Core PPI), в расчете которого не принимают во внимание колебания цен на энергию и продукты питания. Core PPI менее волатилен и позволяет оценить среднесрочные тенденции, заметно исключив влияние сезонных факторов и текущей фазы экономического цикла. Различают также Индекс цен производителей «на входе», в расчете которого учитываются изменения цен на полуфабрикаты и комплектующие и т.п., и изменения индекса цен производителей «на выходе», в который входит изменения стоимости рабочей силы.</w:t>
      </w:r>
    </w:p>
    <w:p w:rsidR="00985619" w:rsidRPr="00B76A3B" w:rsidRDefault="00985619" w:rsidP="00985619">
      <w:pPr>
        <w:spacing w:after="0" w:line="240" w:lineRule="auto"/>
        <w:ind w:firstLine="709"/>
        <w:jc w:val="both"/>
        <w:rPr>
          <w:rFonts w:cs="Times New Roman"/>
          <w:szCs w:val="28"/>
        </w:rPr>
      </w:pPr>
      <w:r w:rsidRPr="00B76A3B">
        <w:rPr>
          <w:rFonts w:cs="Times New Roman"/>
          <w:szCs w:val="28"/>
        </w:rPr>
        <w:t>Методология оценки индекса цен производителей сфор</w:t>
      </w:r>
      <w:r>
        <w:rPr>
          <w:rFonts w:cs="Times New Roman"/>
          <w:szCs w:val="28"/>
        </w:rPr>
        <w:t>мирована КС МНЭ РК, утверждённая</w:t>
      </w:r>
      <w:r w:rsidRPr="00B76A3B">
        <w:rPr>
          <w:rFonts w:cs="Times New Roman"/>
          <w:szCs w:val="28"/>
        </w:rPr>
        <w:t xml:space="preserve"> приказом  Председателя  Комитета по статистике Министерства национальной экономики Республики Казахстан от «26» декабря  2016 года №324 </w:t>
      </w:r>
    </w:p>
    <w:p w:rsidR="00985619" w:rsidRPr="00B76A3B" w:rsidRDefault="00985619" w:rsidP="00985619">
      <w:pPr>
        <w:spacing w:after="0" w:line="240" w:lineRule="auto"/>
        <w:ind w:firstLine="709"/>
        <w:jc w:val="both"/>
        <w:rPr>
          <w:rFonts w:cs="Times New Roman"/>
          <w:szCs w:val="28"/>
        </w:rPr>
      </w:pPr>
      <w:r w:rsidRPr="00B76A3B">
        <w:rPr>
          <w:rFonts w:cs="Times New Roman"/>
          <w:szCs w:val="28"/>
        </w:rPr>
        <w:t xml:space="preserve">Индекс цен производителей на услуги характеризует изменение цен внутренних производителей в секторе услуг и представляет собой субиндекс индекса цен производителей. </w:t>
      </w:r>
    </w:p>
    <w:p w:rsidR="00985619" w:rsidRPr="00B76A3B" w:rsidRDefault="00985619" w:rsidP="00985619">
      <w:pPr>
        <w:spacing w:after="0" w:line="240" w:lineRule="auto"/>
        <w:ind w:firstLine="709"/>
        <w:jc w:val="both"/>
        <w:rPr>
          <w:rFonts w:cs="Times New Roman"/>
          <w:szCs w:val="28"/>
        </w:rPr>
      </w:pPr>
      <w:r w:rsidRPr="00B76A3B">
        <w:rPr>
          <w:rFonts w:cs="Times New Roman"/>
          <w:szCs w:val="28"/>
        </w:rPr>
        <w:t>Целью построения ИЦПУ является измерение среднего изменения цен на различные виды услуг в момент их оказания.</w:t>
      </w:r>
    </w:p>
    <w:p w:rsidR="00985619" w:rsidRPr="00B76A3B" w:rsidRDefault="00985619" w:rsidP="00985619">
      <w:pPr>
        <w:spacing w:after="0" w:line="240" w:lineRule="auto"/>
        <w:ind w:firstLine="709"/>
        <w:jc w:val="both"/>
        <w:rPr>
          <w:rFonts w:cs="Times New Roman"/>
          <w:szCs w:val="28"/>
        </w:rPr>
      </w:pPr>
      <w:r w:rsidRPr="00B76A3B">
        <w:rPr>
          <w:rFonts w:cs="Times New Roman"/>
          <w:szCs w:val="28"/>
        </w:rPr>
        <w:t>Индексы цен производителей на услуги используются для:</w:t>
      </w:r>
    </w:p>
    <w:p w:rsidR="00985619" w:rsidRPr="00B76A3B" w:rsidRDefault="00985619" w:rsidP="00985619">
      <w:pPr>
        <w:spacing w:after="0" w:line="240" w:lineRule="auto"/>
        <w:ind w:firstLine="709"/>
        <w:jc w:val="both"/>
        <w:rPr>
          <w:rFonts w:cs="Times New Roman"/>
          <w:szCs w:val="28"/>
        </w:rPr>
      </w:pPr>
      <w:r w:rsidRPr="00B76A3B">
        <w:rPr>
          <w:rFonts w:cs="Times New Roman"/>
          <w:szCs w:val="28"/>
        </w:rPr>
        <w:t>1) получения индикатора инфляции в секторе услуг;</w:t>
      </w:r>
    </w:p>
    <w:p w:rsidR="00985619" w:rsidRPr="00B76A3B" w:rsidRDefault="00985619" w:rsidP="00985619">
      <w:pPr>
        <w:spacing w:after="0" w:line="240" w:lineRule="auto"/>
        <w:ind w:firstLine="709"/>
        <w:jc w:val="both"/>
        <w:rPr>
          <w:rFonts w:cs="Times New Roman"/>
          <w:szCs w:val="28"/>
        </w:rPr>
      </w:pPr>
      <w:r w:rsidRPr="00B76A3B">
        <w:rPr>
          <w:rFonts w:cs="Times New Roman"/>
          <w:szCs w:val="28"/>
        </w:rPr>
        <w:lastRenderedPageBreak/>
        <w:t>2) выпуска или промежуточного потребления в системе национального счетоводства, в качестве дефлятора;</w:t>
      </w:r>
    </w:p>
    <w:p w:rsidR="00985619" w:rsidRPr="00B76A3B" w:rsidRDefault="00985619" w:rsidP="00985619">
      <w:pPr>
        <w:spacing w:after="0" w:line="240" w:lineRule="auto"/>
        <w:ind w:firstLine="709"/>
        <w:jc w:val="both"/>
        <w:rPr>
          <w:rFonts w:cs="Times New Roman"/>
          <w:szCs w:val="28"/>
        </w:rPr>
      </w:pPr>
      <w:r w:rsidRPr="00B76A3B">
        <w:rPr>
          <w:rFonts w:cs="Times New Roman"/>
          <w:szCs w:val="28"/>
        </w:rPr>
        <w:t>3) расчета индекса физического объема отраслей сектора услуг;</w:t>
      </w:r>
    </w:p>
    <w:p w:rsidR="00985619" w:rsidRPr="00B76A3B" w:rsidRDefault="00985619" w:rsidP="00985619">
      <w:pPr>
        <w:spacing w:after="0" w:line="240" w:lineRule="auto"/>
        <w:ind w:firstLine="709"/>
        <w:jc w:val="both"/>
        <w:rPr>
          <w:rFonts w:cs="Times New Roman"/>
          <w:szCs w:val="28"/>
        </w:rPr>
      </w:pPr>
      <w:r w:rsidRPr="00B76A3B">
        <w:rPr>
          <w:rFonts w:cs="Times New Roman"/>
          <w:szCs w:val="28"/>
        </w:rPr>
        <w:t>4) других экономико-аналитических целей.</w:t>
      </w:r>
    </w:p>
    <w:p w:rsidR="00985619" w:rsidRPr="00B76A3B" w:rsidRDefault="00985619" w:rsidP="00985619">
      <w:pPr>
        <w:spacing w:after="0" w:line="240" w:lineRule="auto"/>
        <w:ind w:firstLine="709"/>
        <w:jc w:val="both"/>
        <w:rPr>
          <w:rFonts w:cs="Times New Roman"/>
          <w:szCs w:val="28"/>
        </w:rPr>
      </w:pPr>
      <w:r w:rsidRPr="00B76A3B">
        <w:rPr>
          <w:rFonts w:cs="Times New Roman"/>
          <w:szCs w:val="28"/>
        </w:rPr>
        <w:t>Важность данного типа индекса помимо ранней диагностики инфляции продиктована еще и учетом в нем фактора воздействия импортных цен на приобретаемые сырье, материалы и комплектующие для оказания медицинских услуг. Известно, что казахстанский рынок медицинской техники сегодня характеризуется абсолютным доминированием импортной продукции. То небольшое количество медицинского оборудования, которое производится внутри страны, представляет собой наиболее упрощенные варианты существующего на мировом рынке современной медицинской техники. Высокотехнологичную аппаратуру, отвечающую всем международным стандартам качества, Казахстан импортирует из-за рубежа. При этом ежегодно наблюдается рост объема импортных поставок медицинской техники. Так, основными поставщиками медицинской техники на казахстанский рынок являются производители Германии, России, США и Японии. Кроме того, наиболее крупными странами-поставщиками  изделий медицинского назначения являются Швейцария, Великобритания, Россия и Польша. Наиболее крупными компаниями-поставщиками являются Stryker, Euller и Johnson &amp; Johnson, на которых приходится практически ¾ рынка импортируемых ИМН. Здесь же следует отметить, что рынок ИМН в Казахстане сокращается в денежном выражении с 2015 года, в первую очередь, это связано с долей импорта в изучаемой категории – составляющего до 99% и зависимостью курса тенге к доллару США. Подобная курсовая зависимость напрямую ложится на издержки производителя услуг и является серьезным основанием для её оценки в составе ИЦП.</w:t>
      </w:r>
    </w:p>
    <w:p w:rsidR="00985619" w:rsidRPr="00B76A3B" w:rsidRDefault="00985619" w:rsidP="00985619">
      <w:pPr>
        <w:spacing w:after="0" w:line="240" w:lineRule="auto"/>
        <w:ind w:firstLine="709"/>
        <w:jc w:val="both"/>
        <w:rPr>
          <w:rFonts w:cs="Times New Roman"/>
          <w:szCs w:val="28"/>
        </w:rPr>
      </w:pPr>
      <w:r w:rsidRPr="00B76A3B">
        <w:rPr>
          <w:rFonts w:cs="Times New Roman"/>
          <w:b/>
          <w:szCs w:val="28"/>
        </w:rPr>
        <w:t>3. Формирование органами статистики индекса расходов на личное потребление.</w:t>
      </w:r>
      <w:r w:rsidRPr="00B76A3B">
        <w:rPr>
          <w:rFonts w:cs="Times New Roman"/>
          <w:szCs w:val="28"/>
        </w:rPr>
        <w:t xml:space="preserve"> Данный тип индекса позволит оценивать влияние ценовых колебаний на домохозяйства, используя агрегированные значения двух предыдущих индексов, а также позволит составлять динамические ряды удельных значений расходов на медикаменты и медицинские услуги, оплаченные домохозяйствами.</w:t>
      </w:r>
    </w:p>
    <w:p w:rsidR="00985619" w:rsidRPr="00B76A3B" w:rsidRDefault="00985619" w:rsidP="00985619">
      <w:pPr>
        <w:spacing w:after="0" w:line="240" w:lineRule="auto"/>
        <w:ind w:firstLine="709"/>
        <w:jc w:val="both"/>
        <w:rPr>
          <w:rFonts w:cs="Times New Roman"/>
          <w:szCs w:val="28"/>
        </w:rPr>
      </w:pPr>
      <w:r w:rsidRPr="00B76A3B">
        <w:rPr>
          <w:rFonts w:cs="Times New Roman"/>
          <w:szCs w:val="28"/>
        </w:rPr>
        <w:t>Следуя общепринятой методике расчета данного индекса, его формирование возможно двумя способами. Во-первых, посредством агрегированного индекса, рассчитанного с использованием индекса Фишера по статьям расходов, где каждая статья берется либо через ИЦП либо ИПЦ.</w:t>
      </w:r>
    </w:p>
    <w:p w:rsidR="00985619" w:rsidRPr="00B76A3B" w:rsidRDefault="00985619" w:rsidP="00985619">
      <w:pPr>
        <w:jc w:val="both"/>
        <w:rPr>
          <w:rFonts w:cs="Times New Roman"/>
          <w:szCs w:val="28"/>
        </w:rPr>
      </w:pPr>
      <w:r w:rsidRPr="00B76A3B">
        <w:rPr>
          <w:rFonts w:cs="Times New Roman"/>
          <w:szCs w:val="28"/>
        </w:rPr>
        <w:t xml:space="preserve">Второй метод оценки, также используемый Бюро экономического анализа, позволяет конвертировать данные о валовом внутреннем продукте в индекс РСЕ. В расчет принимаются совокупный объем производства, скорректированный на индекс цен производителей, доходы коммунальных служб, добавляют импорт и вычитают экспорт, а также изменения в запасах, чтобы выявить объем продукции, доступный для внутреннего конечного </w:t>
      </w:r>
      <w:r w:rsidRPr="00B76A3B">
        <w:rPr>
          <w:rFonts w:cs="Times New Roman"/>
          <w:szCs w:val="28"/>
        </w:rPr>
        <w:lastRenderedPageBreak/>
        <w:t xml:space="preserve">потребления. Следует отметить, что при таком способе расчета РСЕ будет включать в себя объем прибыли и уплаченных производителями налогов, что в конечном итоге также включается в цены, уплачиваемые потребителями.  </w:t>
      </w:r>
    </w:p>
    <w:p w:rsidR="00985619" w:rsidRPr="00B76A3B" w:rsidRDefault="00985619" w:rsidP="00985619">
      <w:pPr>
        <w:rPr>
          <w:rFonts w:cs="Times New Roman"/>
          <w:b/>
          <w:szCs w:val="28"/>
        </w:rPr>
      </w:pPr>
      <w:r w:rsidRPr="00B76A3B">
        <w:rPr>
          <w:rFonts w:cs="Times New Roman"/>
          <w:b/>
          <w:szCs w:val="28"/>
        </w:rPr>
        <w:br w:type="page"/>
      </w:r>
    </w:p>
    <w:p w:rsidR="00985619" w:rsidRPr="00B76A3B" w:rsidRDefault="00985619" w:rsidP="00985619">
      <w:pPr>
        <w:pStyle w:val="1"/>
        <w:tabs>
          <w:tab w:val="left" w:pos="284"/>
        </w:tabs>
        <w:ind w:firstLine="567"/>
        <w:jc w:val="both"/>
        <w:rPr>
          <w:rFonts w:cs="Times New Roman"/>
          <w:color w:val="4F81BD" w:themeColor="accent1"/>
        </w:rPr>
      </w:pPr>
      <w:bookmarkStart w:id="8" w:name="_Toc518904377"/>
      <w:r w:rsidRPr="00B76A3B">
        <w:rPr>
          <w:rFonts w:cs="Times New Roman"/>
          <w:color w:val="4F81BD" w:themeColor="accent1"/>
        </w:rPr>
        <w:lastRenderedPageBreak/>
        <w:t>Заключение</w:t>
      </w:r>
      <w:bookmarkEnd w:id="8"/>
    </w:p>
    <w:p w:rsidR="00985619" w:rsidRDefault="00985619" w:rsidP="00985619">
      <w:pPr>
        <w:rPr>
          <w:rFonts w:cs="Times New Roman"/>
          <w:szCs w:val="28"/>
        </w:rPr>
      </w:pPr>
    </w:p>
    <w:p w:rsidR="00985619" w:rsidRDefault="00985619" w:rsidP="00985619">
      <w:pPr>
        <w:ind w:firstLine="709"/>
        <w:jc w:val="both"/>
        <w:rPr>
          <w:rFonts w:cs="Times New Roman"/>
          <w:szCs w:val="28"/>
        </w:rPr>
      </w:pPr>
      <w:r>
        <w:rPr>
          <w:rFonts w:cs="Times New Roman"/>
          <w:szCs w:val="28"/>
        </w:rPr>
        <w:t xml:space="preserve">Методикой сформированы основные аргументы, определяющие недостатки  использования исключительно индекса потребительских цен для оценки уровня инфляции. </w:t>
      </w:r>
      <w:r w:rsidRPr="002B03C1">
        <w:rPr>
          <w:rFonts w:cs="Times New Roman"/>
          <w:szCs w:val="28"/>
        </w:rPr>
        <w:t xml:space="preserve">Основной проблемой используемой методики сбора информации о товарных ценах и методологии расчета ИПЦ является экстраполяция принципа неизменности, однородности объекта потребления (набора потребительских товаров) на субъект потребления (потребителя), его экстраполяция во времени и в пространстве. </w:t>
      </w:r>
      <w:r>
        <w:rPr>
          <w:rFonts w:cs="Times New Roman"/>
          <w:szCs w:val="28"/>
        </w:rPr>
        <w:t>Как было отмечено, п</w:t>
      </w:r>
      <w:r w:rsidRPr="002B03C1">
        <w:rPr>
          <w:rFonts w:cs="Times New Roman"/>
          <w:szCs w:val="28"/>
        </w:rPr>
        <w:t>ри расчете ИПЦ делаются экономические допущения, которые неприемлемы при современном уровне технологических и структурных преобразований в экономике. Вопреки индивидуальному характеру потребления индекс потребительских цен характеризует движение цен как некоего единого целого. Это оправдывает использование И</w:t>
      </w:r>
      <w:r>
        <w:rPr>
          <w:rFonts w:cs="Times New Roman"/>
          <w:szCs w:val="28"/>
        </w:rPr>
        <w:t>ПЦ на макроэкономическом уровне</w:t>
      </w:r>
      <w:r w:rsidRPr="002B03C1">
        <w:rPr>
          <w:rFonts w:cs="Times New Roman"/>
          <w:szCs w:val="28"/>
        </w:rPr>
        <w:t>. Но с такими изъянами ИПЦ не может стать основой для пересчета бюджетных расходов</w:t>
      </w:r>
      <w:r>
        <w:rPr>
          <w:rFonts w:cs="Times New Roman"/>
          <w:szCs w:val="28"/>
        </w:rPr>
        <w:t xml:space="preserve">, индексации социальных выплат. </w:t>
      </w:r>
      <w:r w:rsidRPr="002B03C1">
        <w:rPr>
          <w:rFonts w:cs="Times New Roman"/>
          <w:szCs w:val="28"/>
        </w:rPr>
        <w:t xml:space="preserve">Таким образом, становится очевидным тот факт, что помимо расчета ИПЦ, используемого в том числе для международных сопоставлений, необходим расчет более индивидуализированного индекса, позволяющего рассчитывать его как для населения в целом, так и для различных его групп, классифицированных по доходам, поло-возрастному составу, отношению у урбанизации (городское/сельское население). В качестве примера подобной методологии </w:t>
      </w:r>
      <w:r>
        <w:rPr>
          <w:rFonts w:cs="Times New Roman"/>
          <w:szCs w:val="28"/>
        </w:rPr>
        <w:t xml:space="preserve">предлагается </w:t>
      </w:r>
      <w:r w:rsidRPr="002B03C1">
        <w:rPr>
          <w:rFonts w:cs="Times New Roman"/>
          <w:szCs w:val="28"/>
        </w:rPr>
        <w:t xml:space="preserve"> расчет индекса расходов на личное потребление (PCE – Personal Consumption Expenditures)</w:t>
      </w:r>
      <w:r>
        <w:rPr>
          <w:rFonts w:cs="Times New Roman"/>
          <w:szCs w:val="28"/>
        </w:rPr>
        <w:t>. Также значительно более информативным с точки зрения оценки и прогнозирования уровня инфляции будет использование индекса цен производителей услуг.</w:t>
      </w:r>
    </w:p>
    <w:p w:rsidR="00985619" w:rsidRPr="00B76A3B" w:rsidRDefault="00985619" w:rsidP="00985619">
      <w:pPr>
        <w:ind w:firstLine="709"/>
        <w:jc w:val="both"/>
        <w:rPr>
          <w:rFonts w:cs="Times New Roman"/>
          <w:szCs w:val="28"/>
        </w:rPr>
      </w:pPr>
      <w:r>
        <w:rPr>
          <w:rFonts w:cs="Times New Roman"/>
          <w:szCs w:val="28"/>
        </w:rPr>
        <w:t>Таким образом, рассмотренная методика использования комплексного подхода к оценке медицинской инфляции позволит в полной мере охарактеризовать изменение общего уровня цен по отрасли здравоохранения, выявлять степень влияния на динамику расходов домохозяйств и более объективно прогнозировать.</w:t>
      </w:r>
    </w:p>
    <w:p w:rsidR="00985619" w:rsidRPr="00B76A3B" w:rsidRDefault="00985619" w:rsidP="00985619">
      <w:pPr>
        <w:rPr>
          <w:rFonts w:cs="Times New Roman"/>
          <w:szCs w:val="28"/>
        </w:rPr>
      </w:pPr>
    </w:p>
    <w:p w:rsidR="00985619" w:rsidRPr="00B76A3B" w:rsidRDefault="00985619" w:rsidP="00985619">
      <w:pPr>
        <w:rPr>
          <w:rFonts w:cs="Times New Roman"/>
          <w:szCs w:val="28"/>
        </w:rPr>
      </w:pPr>
    </w:p>
    <w:p w:rsidR="00985619" w:rsidRPr="00B76A3B" w:rsidRDefault="00985619" w:rsidP="00985619">
      <w:pPr>
        <w:rPr>
          <w:rFonts w:cs="Times New Roman"/>
          <w:szCs w:val="28"/>
        </w:rPr>
      </w:pPr>
    </w:p>
    <w:p w:rsidR="00985619" w:rsidRPr="00B76A3B" w:rsidRDefault="00985619" w:rsidP="00985619">
      <w:pPr>
        <w:pStyle w:val="1"/>
        <w:tabs>
          <w:tab w:val="left" w:pos="284"/>
        </w:tabs>
        <w:ind w:firstLine="567"/>
        <w:jc w:val="both"/>
        <w:rPr>
          <w:rFonts w:cs="Times New Roman"/>
          <w:color w:val="4F81BD" w:themeColor="accent1"/>
        </w:rPr>
      </w:pPr>
      <w:bookmarkStart w:id="9" w:name="_Toc518904378"/>
      <w:r w:rsidRPr="00B76A3B">
        <w:rPr>
          <w:rFonts w:cs="Times New Roman"/>
          <w:color w:val="4F81BD" w:themeColor="accent1"/>
        </w:rPr>
        <w:lastRenderedPageBreak/>
        <w:t>Использованная литература</w:t>
      </w:r>
      <w:bookmarkEnd w:id="9"/>
    </w:p>
    <w:p w:rsidR="00985619" w:rsidRPr="00B76A3B" w:rsidRDefault="00985619" w:rsidP="00985619">
      <w:pPr>
        <w:pStyle w:val="a3"/>
        <w:spacing w:after="0" w:line="240" w:lineRule="auto"/>
        <w:ind w:left="0" w:firstLine="709"/>
        <w:jc w:val="both"/>
        <w:rPr>
          <w:rFonts w:cs="Times New Roman"/>
          <w:szCs w:val="28"/>
        </w:rPr>
      </w:pPr>
    </w:p>
    <w:p w:rsidR="00985619" w:rsidRDefault="00985619" w:rsidP="00985619">
      <w:pPr>
        <w:pStyle w:val="a3"/>
        <w:numPr>
          <w:ilvl w:val="0"/>
          <w:numId w:val="6"/>
        </w:numPr>
        <w:spacing w:after="0"/>
        <w:ind w:left="709" w:hanging="425"/>
        <w:contextualSpacing w:val="0"/>
        <w:jc w:val="both"/>
        <w:rPr>
          <w:rFonts w:cs="Times New Roman"/>
          <w:szCs w:val="28"/>
        </w:rPr>
      </w:pPr>
      <w:r w:rsidRPr="00D53BF6">
        <w:rPr>
          <w:rFonts w:cs="Times New Roman"/>
          <w:szCs w:val="28"/>
        </w:rPr>
        <w:t>«Методика построения индексов цен производителей в промышленности», утверждена приказом Председателя Комитета по статистике Министерства национальной экономики  Республики Казахстан от «31» мая 2016 года № 98</w:t>
      </w:r>
    </w:p>
    <w:p w:rsidR="00985619" w:rsidRPr="00D53BF6" w:rsidRDefault="00985619" w:rsidP="00985619">
      <w:pPr>
        <w:pStyle w:val="a3"/>
        <w:numPr>
          <w:ilvl w:val="0"/>
          <w:numId w:val="6"/>
        </w:numPr>
        <w:spacing w:after="0"/>
        <w:ind w:left="709" w:hanging="425"/>
        <w:contextualSpacing w:val="0"/>
        <w:jc w:val="both"/>
        <w:rPr>
          <w:rFonts w:cs="Times New Roman"/>
          <w:szCs w:val="28"/>
        </w:rPr>
      </w:pPr>
      <w:r w:rsidRPr="00D53BF6">
        <w:rPr>
          <w:rFonts w:cs="Times New Roman"/>
          <w:szCs w:val="28"/>
        </w:rPr>
        <w:t>«</w:t>
      </w:r>
      <w:r w:rsidRPr="00D53BF6">
        <w:rPr>
          <w:rFonts w:cs="Times New Roman"/>
          <w:bCs/>
          <w:szCs w:val="28"/>
        </w:rPr>
        <w:t xml:space="preserve">Методика построения индексов цен производителей на услуги», </w:t>
      </w:r>
      <w:r w:rsidRPr="00D53BF6">
        <w:rPr>
          <w:rFonts w:cs="Times New Roman"/>
          <w:szCs w:val="28"/>
        </w:rPr>
        <w:t>утвержденаприказом  Председателя Комитета по статистикеМинистерства национальной экономикиРеспублики Казахстан от «26» декабря  2016 года №324</w:t>
      </w:r>
    </w:p>
    <w:p w:rsidR="00985619" w:rsidRPr="00D53BF6" w:rsidRDefault="00985619" w:rsidP="00985619">
      <w:pPr>
        <w:pStyle w:val="a3"/>
        <w:numPr>
          <w:ilvl w:val="0"/>
          <w:numId w:val="6"/>
        </w:numPr>
        <w:spacing w:after="0"/>
        <w:ind w:left="709" w:hanging="425"/>
        <w:contextualSpacing w:val="0"/>
        <w:jc w:val="both"/>
        <w:rPr>
          <w:rFonts w:cs="Times New Roman"/>
          <w:szCs w:val="28"/>
          <w:lang w:val="en-US"/>
        </w:rPr>
      </w:pPr>
      <w:r w:rsidRPr="00D53BF6">
        <w:rPr>
          <w:rFonts w:cs="Times New Roman"/>
          <w:szCs w:val="28"/>
          <w:lang w:val="en-US"/>
        </w:rPr>
        <w:t>NIPA Handbook, Chapter 5: Personal Consumption Expenditures, February 2014 (Updated to reflect the 2013 Comprehensive Revision)</w:t>
      </w:r>
    </w:p>
    <w:p w:rsidR="00985619" w:rsidRPr="00D53BF6" w:rsidRDefault="00985619" w:rsidP="00985619">
      <w:pPr>
        <w:pStyle w:val="a3"/>
        <w:numPr>
          <w:ilvl w:val="0"/>
          <w:numId w:val="6"/>
        </w:numPr>
        <w:spacing w:after="0"/>
        <w:ind w:left="709" w:hanging="425"/>
        <w:contextualSpacing w:val="0"/>
        <w:jc w:val="both"/>
        <w:rPr>
          <w:rFonts w:cs="Times New Roman"/>
          <w:szCs w:val="28"/>
          <w:lang w:val="en-US"/>
        </w:rPr>
      </w:pPr>
      <w:r w:rsidRPr="00D53BF6">
        <w:rPr>
          <w:rFonts w:cs="Times New Roman"/>
          <w:szCs w:val="28"/>
          <w:lang w:val="en-US"/>
        </w:rPr>
        <w:t>Updated Summary NIPA Methodologies, November 2010</w:t>
      </w:r>
    </w:p>
    <w:p w:rsidR="00985619" w:rsidRPr="00D53BF6" w:rsidRDefault="00985619" w:rsidP="00985619">
      <w:pPr>
        <w:pStyle w:val="a3"/>
        <w:numPr>
          <w:ilvl w:val="0"/>
          <w:numId w:val="6"/>
        </w:numPr>
        <w:spacing w:after="0"/>
        <w:ind w:left="709" w:hanging="425"/>
        <w:contextualSpacing w:val="0"/>
        <w:jc w:val="both"/>
        <w:rPr>
          <w:rFonts w:cs="Times New Roman"/>
          <w:szCs w:val="28"/>
          <w:lang w:val="en-US"/>
        </w:rPr>
      </w:pPr>
      <w:r w:rsidRPr="00D53BF6">
        <w:rPr>
          <w:rFonts w:cs="Times New Roman"/>
          <w:szCs w:val="28"/>
          <w:lang w:val="en-US"/>
        </w:rPr>
        <w:t>Comparing Price Measures – The CPI and the PCE Price Index July 2017</w:t>
      </w:r>
    </w:p>
    <w:p w:rsidR="00985619" w:rsidRPr="00D53BF6" w:rsidRDefault="00985619" w:rsidP="00985619">
      <w:pPr>
        <w:pStyle w:val="a3"/>
        <w:numPr>
          <w:ilvl w:val="0"/>
          <w:numId w:val="6"/>
        </w:numPr>
        <w:spacing w:after="0"/>
        <w:ind w:left="709" w:hanging="425"/>
        <w:contextualSpacing w:val="0"/>
        <w:jc w:val="both"/>
        <w:rPr>
          <w:rFonts w:cs="Times New Roman"/>
          <w:szCs w:val="28"/>
          <w:lang w:val="en-US"/>
        </w:rPr>
      </w:pPr>
      <w:r w:rsidRPr="00D53BF6">
        <w:rPr>
          <w:rFonts w:cs="Times New Roman"/>
          <w:szCs w:val="28"/>
          <w:lang w:val="en-US"/>
        </w:rPr>
        <w:t>Research Spotlight: Estimates of Categories of Personal Consumption Expenditures Adjusted for Net Foreign Travel Spending April 2012</w:t>
      </w:r>
    </w:p>
    <w:p w:rsidR="00985619" w:rsidRPr="00D53BF6" w:rsidRDefault="00985619" w:rsidP="00985619">
      <w:pPr>
        <w:pStyle w:val="a3"/>
        <w:numPr>
          <w:ilvl w:val="0"/>
          <w:numId w:val="6"/>
        </w:numPr>
        <w:spacing w:after="0"/>
        <w:ind w:left="709" w:hanging="425"/>
        <w:contextualSpacing w:val="0"/>
        <w:jc w:val="both"/>
        <w:rPr>
          <w:rFonts w:cs="Times New Roman"/>
          <w:szCs w:val="28"/>
          <w:lang w:val="en-US"/>
        </w:rPr>
      </w:pPr>
      <w:r w:rsidRPr="00D53BF6">
        <w:rPr>
          <w:rFonts w:cs="Times New Roman"/>
          <w:szCs w:val="28"/>
          <w:lang w:val="en-US"/>
        </w:rPr>
        <w:t>Trends in Consumer Spending and Personal Saving, 1959–2009 June 2011</w:t>
      </w:r>
    </w:p>
    <w:p w:rsidR="00985619" w:rsidRPr="00D53BF6" w:rsidRDefault="00985619" w:rsidP="00985619">
      <w:pPr>
        <w:pStyle w:val="a3"/>
        <w:numPr>
          <w:ilvl w:val="0"/>
          <w:numId w:val="6"/>
        </w:numPr>
        <w:spacing w:after="0"/>
        <w:ind w:left="709" w:hanging="425"/>
        <w:contextualSpacing w:val="0"/>
        <w:jc w:val="both"/>
        <w:rPr>
          <w:rFonts w:cs="Times New Roman"/>
          <w:szCs w:val="28"/>
          <w:lang w:val="en-US"/>
        </w:rPr>
      </w:pPr>
      <w:r w:rsidRPr="00D53BF6">
        <w:rPr>
          <w:rFonts w:cs="Times New Roman"/>
          <w:szCs w:val="28"/>
          <w:lang w:val="en-US"/>
        </w:rPr>
        <w:t>Reconciliation between the Consumer Price Index and the Personal  Consumption Expenditures Price Index September 2007</w:t>
      </w:r>
    </w:p>
    <w:p w:rsidR="00985619" w:rsidRPr="00D53BF6" w:rsidRDefault="00985619" w:rsidP="00985619">
      <w:pPr>
        <w:pStyle w:val="a3"/>
        <w:numPr>
          <w:ilvl w:val="0"/>
          <w:numId w:val="6"/>
        </w:numPr>
        <w:spacing w:after="0"/>
        <w:ind w:left="709" w:hanging="425"/>
        <w:contextualSpacing w:val="0"/>
        <w:jc w:val="both"/>
        <w:rPr>
          <w:rFonts w:cs="Times New Roman"/>
          <w:szCs w:val="28"/>
          <w:lang w:val="en-US"/>
        </w:rPr>
      </w:pPr>
      <w:r w:rsidRPr="00D53BF6">
        <w:rPr>
          <w:rFonts w:cs="Times New Roman"/>
          <w:szCs w:val="28"/>
          <w:lang w:val="en-US"/>
        </w:rPr>
        <w:t>Working with Chain-Type Aggregates: A Few Tricks June 2003</w:t>
      </w:r>
    </w:p>
    <w:p w:rsidR="00B258DF" w:rsidRPr="005A3A2E" w:rsidRDefault="00B258DF" w:rsidP="005A3A2E">
      <w:pPr>
        <w:rPr>
          <w:rFonts w:asciiTheme="majorHAnsi" w:eastAsiaTheme="majorEastAsia" w:hAnsiTheme="majorHAnsi" w:cs="Times New Roman"/>
          <w:b/>
          <w:bCs/>
          <w:color w:val="4F81BD" w:themeColor="accent1"/>
          <w:szCs w:val="28"/>
          <w:lang w:val="kk-KZ"/>
        </w:rPr>
      </w:pPr>
      <w:bookmarkStart w:id="10" w:name="_GoBack"/>
      <w:bookmarkEnd w:id="10"/>
    </w:p>
    <w:sectPr w:rsidR="00B258DF" w:rsidRPr="005A3A2E" w:rsidSect="00076150">
      <w:footerReference w:type="default" r:id="rId4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53CFF" w:rsidRDefault="00253CFF" w:rsidP="00206389">
      <w:pPr>
        <w:spacing w:after="0" w:line="240" w:lineRule="auto"/>
      </w:pPr>
      <w:r>
        <w:separator/>
      </w:r>
    </w:p>
  </w:endnote>
  <w:endnote w:type="continuationSeparator" w:id="0">
    <w:p w:rsidR="00253CFF" w:rsidRDefault="00253CFF" w:rsidP="002063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charset w:val="CC"/>
    <w:family w:val="swiss"/>
    <w:pitch w:val="variable"/>
    <w:sig w:usb0="E10002FF" w:usb1="4000ACFF" w:usb2="00000009" w:usb3="00000000" w:csb0="0000019F" w:csb1="00000000"/>
  </w:font>
  <w:font w:name="Cambria">
    <w:charset w:val="CC"/>
    <w:family w:val="roman"/>
    <w:pitch w:val="variable"/>
    <w:sig w:usb0="E00002FF" w:usb1="400004FF" w:usb2="00000000" w:usb3="00000000" w:csb0="0000019F" w:csb1="00000000"/>
  </w:font>
  <w:font w:name="Tahoma">
    <w:charset w:val="CC"/>
    <w:family w:val="swiss"/>
    <w:pitch w:val="variable"/>
    <w:sig w:usb0="E1002EFF" w:usb1="C000605B" w:usb2="00000029" w:usb3="00000000" w:csb0="000101FF" w:csb1="00000000"/>
  </w:font>
  <w:font w:name="TimesNewRomanPSMT">
    <w:altName w:val="Arial Unicode MS"/>
    <w:panose1 w:val="00000000000000000000"/>
    <w:charset w:val="88"/>
    <w:family w:val="auto"/>
    <w:notTrueType/>
    <w:pitch w:val="default"/>
    <w:sig w:usb0="00000001" w:usb1="08080000" w:usb2="00000010" w:usb3="00000000" w:csb0="00100000" w:csb1="00000000"/>
  </w:font>
  <w:font w:name="Calibri Light">
    <w:charset w:val="CC"/>
    <w:family w:val="swiss"/>
    <w:pitch w:val="variable"/>
    <w:sig w:usb0="A00002EF" w:usb1="4000207B" w:usb2="00000000" w:usb3="00000000" w:csb0="0000019F" w:csb1="00000000"/>
  </w:font>
  <w:font w:name="Century Gothic">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37003937"/>
      <w:docPartObj>
        <w:docPartGallery w:val="Page Numbers (Bottom of Page)"/>
        <w:docPartUnique/>
      </w:docPartObj>
    </w:sdtPr>
    <w:sdtContent>
      <w:p w:rsidR="005A3A2E" w:rsidRDefault="005A3A2E">
        <w:pPr>
          <w:pStyle w:val="ab"/>
          <w:jc w:val="center"/>
        </w:pPr>
        <w:r>
          <w:fldChar w:fldCharType="begin"/>
        </w:r>
        <w:r>
          <w:instrText>PAGE   \* MERGEFORMAT</w:instrText>
        </w:r>
        <w:r>
          <w:fldChar w:fldCharType="separate"/>
        </w:r>
        <w:r w:rsidR="00F50120">
          <w:rPr>
            <w:noProof/>
          </w:rPr>
          <w:t>3</w:t>
        </w:r>
        <w:r>
          <w:rPr>
            <w:noProof/>
          </w:rPr>
          <w:fldChar w:fldCharType="end"/>
        </w:r>
      </w:p>
    </w:sdtContent>
  </w:sdt>
  <w:p w:rsidR="005A3A2E" w:rsidRDefault="005A3A2E">
    <w:pPr>
      <w:pStyle w:val="ab"/>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3A2E" w:rsidRDefault="005A3A2E">
    <w:pPr>
      <w:pStyle w:val="ab"/>
      <w:jc w:val="center"/>
    </w:pPr>
  </w:p>
  <w:p w:rsidR="005A3A2E" w:rsidRDefault="005A3A2E">
    <w:pPr>
      <w:pStyle w:val="ab"/>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3A2E" w:rsidRDefault="005A3A2E">
    <w:pPr>
      <w:pStyle w:val="ab"/>
      <w:jc w:val="center"/>
    </w:pPr>
    <w:r>
      <w:fldChar w:fldCharType="begin"/>
    </w:r>
    <w:r>
      <w:instrText>PAGE   \* MERGEFORMAT</w:instrText>
    </w:r>
    <w:r>
      <w:fldChar w:fldCharType="separate"/>
    </w:r>
    <w:r w:rsidR="00F50120">
      <w:rPr>
        <w:noProof/>
      </w:rPr>
      <w:t>41</w:t>
    </w:r>
    <w:r>
      <w:rPr>
        <w:noProof/>
      </w:rPr>
      <w:fldChar w:fldCharType="end"/>
    </w:r>
  </w:p>
  <w:p w:rsidR="005A3A2E" w:rsidRDefault="005A3A2E">
    <w:pPr>
      <w:pStyle w:val="ab"/>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53CFF" w:rsidRDefault="00253CFF" w:rsidP="00206389">
      <w:pPr>
        <w:spacing w:after="0" w:line="240" w:lineRule="auto"/>
      </w:pPr>
      <w:r>
        <w:separator/>
      </w:r>
    </w:p>
  </w:footnote>
  <w:footnote w:type="continuationSeparator" w:id="0">
    <w:p w:rsidR="00253CFF" w:rsidRDefault="00253CFF" w:rsidP="00206389">
      <w:pPr>
        <w:spacing w:after="0" w:line="240" w:lineRule="auto"/>
      </w:pPr>
      <w:r>
        <w:continuationSeparator/>
      </w:r>
    </w:p>
  </w:footnote>
  <w:footnote w:id="1">
    <w:p w:rsidR="005A3A2E" w:rsidRDefault="005A3A2E" w:rsidP="00FA4411">
      <w:pPr>
        <w:pStyle w:val="ad"/>
      </w:pPr>
      <w:r>
        <w:rPr>
          <w:rStyle w:val="af"/>
        </w:rPr>
        <w:footnoteRef/>
      </w:r>
      <w:r>
        <w:t xml:space="preserve"> «Руководство по индексу потребительских цен: теория и практика», подготовленное МОТ, МВФ и ОЭСР</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3A2E" w:rsidRPr="006F02DD" w:rsidRDefault="005A3A2E" w:rsidP="00076150">
    <w:pPr>
      <w:pStyle w:val="a9"/>
      <w:tabs>
        <w:tab w:val="left" w:pos="7498"/>
      </w:tabs>
      <w:contextualSpacing/>
      <w:rPr>
        <w:rFonts w:ascii="Calibri Light" w:hAnsi="Calibri Light"/>
        <w:i/>
        <w:color w:val="255997"/>
      </w:rPr>
    </w:pPr>
    <w:r>
      <w:rPr>
        <w:rFonts w:ascii="Calibri Light" w:hAnsi="Calibri Light"/>
        <w:i/>
        <w:color w:val="255997"/>
      </w:rP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962DBB"/>
    <w:multiLevelType w:val="hybridMultilevel"/>
    <w:tmpl w:val="2D7A0D0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17524B4F"/>
    <w:multiLevelType w:val="hybridMultilevel"/>
    <w:tmpl w:val="ED50D490"/>
    <w:lvl w:ilvl="0" w:tplc="8D045DF4">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 w15:restartNumberingAfterBreak="0">
    <w:nsid w:val="1B647D0B"/>
    <w:multiLevelType w:val="hybridMultilevel"/>
    <w:tmpl w:val="4C1080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9167520"/>
    <w:multiLevelType w:val="multilevel"/>
    <w:tmpl w:val="B3427D9A"/>
    <w:lvl w:ilvl="0">
      <w:start w:val="1"/>
      <w:numFmt w:val="decimal"/>
      <w:lvlText w:val="%1"/>
      <w:lvlJc w:val="left"/>
      <w:pPr>
        <w:ind w:left="375" w:hanging="375"/>
      </w:pPr>
      <w:rPr>
        <w:rFonts w:hint="default"/>
        <w:b w:val="0"/>
        <w:i/>
      </w:rPr>
    </w:lvl>
    <w:lvl w:ilvl="1">
      <w:start w:val="2"/>
      <w:numFmt w:val="decimal"/>
      <w:lvlText w:val="%1.%2"/>
      <w:lvlJc w:val="left"/>
      <w:pPr>
        <w:ind w:left="1095" w:hanging="375"/>
      </w:pPr>
      <w:rPr>
        <w:rFonts w:hint="default"/>
        <w:b/>
        <w:i w:val="0"/>
      </w:rPr>
    </w:lvl>
    <w:lvl w:ilvl="2">
      <w:start w:val="1"/>
      <w:numFmt w:val="decimal"/>
      <w:lvlText w:val="%1.%2.%3"/>
      <w:lvlJc w:val="left"/>
      <w:pPr>
        <w:ind w:left="2160" w:hanging="720"/>
      </w:pPr>
      <w:rPr>
        <w:rFonts w:hint="default"/>
        <w:b w:val="0"/>
        <w:i/>
      </w:rPr>
    </w:lvl>
    <w:lvl w:ilvl="3">
      <w:start w:val="1"/>
      <w:numFmt w:val="decimal"/>
      <w:lvlText w:val="%1.%2.%3.%4"/>
      <w:lvlJc w:val="left"/>
      <w:pPr>
        <w:ind w:left="3240" w:hanging="1080"/>
      </w:pPr>
      <w:rPr>
        <w:rFonts w:hint="default"/>
        <w:b w:val="0"/>
        <w:i/>
      </w:rPr>
    </w:lvl>
    <w:lvl w:ilvl="4">
      <w:start w:val="1"/>
      <w:numFmt w:val="decimal"/>
      <w:lvlText w:val="%1.%2.%3.%4.%5"/>
      <w:lvlJc w:val="left"/>
      <w:pPr>
        <w:ind w:left="3960" w:hanging="1080"/>
      </w:pPr>
      <w:rPr>
        <w:rFonts w:hint="default"/>
        <w:b w:val="0"/>
        <w:i/>
      </w:rPr>
    </w:lvl>
    <w:lvl w:ilvl="5">
      <w:start w:val="1"/>
      <w:numFmt w:val="decimal"/>
      <w:lvlText w:val="%1.%2.%3.%4.%5.%6"/>
      <w:lvlJc w:val="left"/>
      <w:pPr>
        <w:ind w:left="5040" w:hanging="1440"/>
      </w:pPr>
      <w:rPr>
        <w:rFonts w:hint="default"/>
        <w:b w:val="0"/>
        <w:i/>
      </w:rPr>
    </w:lvl>
    <w:lvl w:ilvl="6">
      <w:start w:val="1"/>
      <w:numFmt w:val="decimal"/>
      <w:lvlText w:val="%1.%2.%3.%4.%5.%6.%7"/>
      <w:lvlJc w:val="left"/>
      <w:pPr>
        <w:ind w:left="5760" w:hanging="1440"/>
      </w:pPr>
      <w:rPr>
        <w:rFonts w:hint="default"/>
        <w:b w:val="0"/>
        <w:i/>
      </w:rPr>
    </w:lvl>
    <w:lvl w:ilvl="7">
      <w:start w:val="1"/>
      <w:numFmt w:val="decimal"/>
      <w:lvlText w:val="%1.%2.%3.%4.%5.%6.%7.%8"/>
      <w:lvlJc w:val="left"/>
      <w:pPr>
        <w:ind w:left="6840" w:hanging="1800"/>
      </w:pPr>
      <w:rPr>
        <w:rFonts w:hint="default"/>
        <w:b w:val="0"/>
        <w:i/>
      </w:rPr>
    </w:lvl>
    <w:lvl w:ilvl="8">
      <w:start w:val="1"/>
      <w:numFmt w:val="decimal"/>
      <w:lvlText w:val="%1.%2.%3.%4.%5.%6.%7.%8.%9"/>
      <w:lvlJc w:val="left"/>
      <w:pPr>
        <w:ind w:left="7920" w:hanging="2160"/>
      </w:pPr>
      <w:rPr>
        <w:rFonts w:hint="default"/>
        <w:b w:val="0"/>
        <w:i/>
      </w:rPr>
    </w:lvl>
  </w:abstractNum>
  <w:abstractNum w:abstractNumId="4" w15:restartNumberingAfterBreak="0">
    <w:nsid w:val="2A3C006A"/>
    <w:multiLevelType w:val="hybridMultilevel"/>
    <w:tmpl w:val="19A67854"/>
    <w:lvl w:ilvl="0" w:tplc="0419000F">
      <w:start w:val="1"/>
      <w:numFmt w:val="decimal"/>
      <w:lvlText w:val="%1."/>
      <w:lvlJc w:val="left"/>
      <w:pPr>
        <w:ind w:left="1505" w:hanging="360"/>
      </w:pPr>
    </w:lvl>
    <w:lvl w:ilvl="1" w:tplc="04190019" w:tentative="1">
      <w:start w:val="1"/>
      <w:numFmt w:val="lowerLetter"/>
      <w:lvlText w:val="%2."/>
      <w:lvlJc w:val="left"/>
      <w:pPr>
        <w:ind w:left="2225" w:hanging="360"/>
      </w:pPr>
    </w:lvl>
    <w:lvl w:ilvl="2" w:tplc="0419001B" w:tentative="1">
      <w:start w:val="1"/>
      <w:numFmt w:val="lowerRoman"/>
      <w:lvlText w:val="%3."/>
      <w:lvlJc w:val="right"/>
      <w:pPr>
        <w:ind w:left="2945" w:hanging="180"/>
      </w:pPr>
    </w:lvl>
    <w:lvl w:ilvl="3" w:tplc="0419000F" w:tentative="1">
      <w:start w:val="1"/>
      <w:numFmt w:val="decimal"/>
      <w:lvlText w:val="%4."/>
      <w:lvlJc w:val="left"/>
      <w:pPr>
        <w:ind w:left="3665" w:hanging="360"/>
      </w:pPr>
    </w:lvl>
    <w:lvl w:ilvl="4" w:tplc="04190019" w:tentative="1">
      <w:start w:val="1"/>
      <w:numFmt w:val="lowerLetter"/>
      <w:lvlText w:val="%5."/>
      <w:lvlJc w:val="left"/>
      <w:pPr>
        <w:ind w:left="4385" w:hanging="360"/>
      </w:pPr>
    </w:lvl>
    <w:lvl w:ilvl="5" w:tplc="0419001B" w:tentative="1">
      <w:start w:val="1"/>
      <w:numFmt w:val="lowerRoman"/>
      <w:lvlText w:val="%6."/>
      <w:lvlJc w:val="right"/>
      <w:pPr>
        <w:ind w:left="5105" w:hanging="180"/>
      </w:pPr>
    </w:lvl>
    <w:lvl w:ilvl="6" w:tplc="0419000F" w:tentative="1">
      <w:start w:val="1"/>
      <w:numFmt w:val="decimal"/>
      <w:lvlText w:val="%7."/>
      <w:lvlJc w:val="left"/>
      <w:pPr>
        <w:ind w:left="5825" w:hanging="360"/>
      </w:pPr>
    </w:lvl>
    <w:lvl w:ilvl="7" w:tplc="04190019" w:tentative="1">
      <w:start w:val="1"/>
      <w:numFmt w:val="lowerLetter"/>
      <w:lvlText w:val="%8."/>
      <w:lvlJc w:val="left"/>
      <w:pPr>
        <w:ind w:left="6545" w:hanging="360"/>
      </w:pPr>
    </w:lvl>
    <w:lvl w:ilvl="8" w:tplc="0419001B" w:tentative="1">
      <w:start w:val="1"/>
      <w:numFmt w:val="lowerRoman"/>
      <w:lvlText w:val="%9."/>
      <w:lvlJc w:val="right"/>
      <w:pPr>
        <w:ind w:left="7265" w:hanging="180"/>
      </w:pPr>
    </w:lvl>
  </w:abstractNum>
  <w:abstractNum w:abstractNumId="5" w15:restartNumberingAfterBreak="0">
    <w:nsid w:val="416326D7"/>
    <w:multiLevelType w:val="hybridMultilevel"/>
    <w:tmpl w:val="DB2A8FC2"/>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 w15:restartNumberingAfterBreak="0">
    <w:nsid w:val="4A0C7D3A"/>
    <w:multiLevelType w:val="hybridMultilevel"/>
    <w:tmpl w:val="BB36A2BA"/>
    <w:lvl w:ilvl="0" w:tplc="4A088542">
      <w:start w:val="1"/>
      <w:numFmt w:val="decimal"/>
      <w:lvlText w:val="%1."/>
      <w:lvlJc w:val="left"/>
      <w:pPr>
        <w:ind w:left="9717" w:hanging="360"/>
      </w:pPr>
      <w:rPr>
        <w:rFonts w:ascii="Times New Roman" w:eastAsiaTheme="minorHAnsi" w:hAnsi="Times New Roman" w:cs="Times New Roman"/>
      </w:rPr>
    </w:lvl>
    <w:lvl w:ilvl="1" w:tplc="04190019" w:tentative="1">
      <w:start w:val="1"/>
      <w:numFmt w:val="lowerLetter"/>
      <w:lvlText w:val="%2."/>
      <w:lvlJc w:val="left"/>
      <w:pPr>
        <w:ind w:left="10437" w:hanging="360"/>
      </w:pPr>
    </w:lvl>
    <w:lvl w:ilvl="2" w:tplc="0419001B" w:tentative="1">
      <w:start w:val="1"/>
      <w:numFmt w:val="lowerRoman"/>
      <w:lvlText w:val="%3."/>
      <w:lvlJc w:val="right"/>
      <w:pPr>
        <w:ind w:left="11157" w:hanging="180"/>
      </w:pPr>
    </w:lvl>
    <w:lvl w:ilvl="3" w:tplc="0419000F" w:tentative="1">
      <w:start w:val="1"/>
      <w:numFmt w:val="decimal"/>
      <w:lvlText w:val="%4."/>
      <w:lvlJc w:val="left"/>
      <w:pPr>
        <w:ind w:left="11877" w:hanging="360"/>
      </w:pPr>
    </w:lvl>
    <w:lvl w:ilvl="4" w:tplc="04190019" w:tentative="1">
      <w:start w:val="1"/>
      <w:numFmt w:val="lowerLetter"/>
      <w:lvlText w:val="%5."/>
      <w:lvlJc w:val="left"/>
      <w:pPr>
        <w:ind w:left="12597" w:hanging="360"/>
      </w:pPr>
    </w:lvl>
    <w:lvl w:ilvl="5" w:tplc="0419001B" w:tentative="1">
      <w:start w:val="1"/>
      <w:numFmt w:val="lowerRoman"/>
      <w:lvlText w:val="%6."/>
      <w:lvlJc w:val="right"/>
      <w:pPr>
        <w:ind w:left="13317" w:hanging="180"/>
      </w:pPr>
    </w:lvl>
    <w:lvl w:ilvl="6" w:tplc="0419000F" w:tentative="1">
      <w:start w:val="1"/>
      <w:numFmt w:val="decimal"/>
      <w:lvlText w:val="%7."/>
      <w:lvlJc w:val="left"/>
      <w:pPr>
        <w:ind w:left="14037" w:hanging="360"/>
      </w:pPr>
    </w:lvl>
    <w:lvl w:ilvl="7" w:tplc="04190019" w:tentative="1">
      <w:start w:val="1"/>
      <w:numFmt w:val="lowerLetter"/>
      <w:lvlText w:val="%8."/>
      <w:lvlJc w:val="left"/>
      <w:pPr>
        <w:ind w:left="14757" w:hanging="360"/>
      </w:pPr>
    </w:lvl>
    <w:lvl w:ilvl="8" w:tplc="0419001B" w:tentative="1">
      <w:start w:val="1"/>
      <w:numFmt w:val="lowerRoman"/>
      <w:lvlText w:val="%9."/>
      <w:lvlJc w:val="right"/>
      <w:pPr>
        <w:ind w:left="15477" w:hanging="180"/>
      </w:pPr>
    </w:lvl>
  </w:abstractNum>
  <w:abstractNum w:abstractNumId="7" w15:restartNumberingAfterBreak="0">
    <w:nsid w:val="4A6E2EDB"/>
    <w:multiLevelType w:val="hybridMultilevel"/>
    <w:tmpl w:val="F3FEDAEE"/>
    <w:lvl w:ilvl="0" w:tplc="0419000F">
      <w:start w:val="1"/>
      <w:numFmt w:val="decimal"/>
      <w:lvlText w:val="%1."/>
      <w:lvlJc w:val="left"/>
      <w:pPr>
        <w:ind w:left="1505" w:hanging="360"/>
      </w:pPr>
    </w:lvl>
    <w:lvl w:ilvl="1" w:tplc="04190019" w:tentative="1">
      <w:start w:val="1"/>
      <w:numFmt w:val="lowerLetter"/>
      <w:lvlText w:val="%2."/>
      <w:lvlJc w:val="left"/>
      <w:pPr>
        <w:ind w:left="2225" w:hanging="360"/>
      </w:pPr>
    </w:lvl>
    <w:lvl w:ilvl="2" w:tplc="0419001B" w:tentative="1">
      <w:start w:val="1"/>
      <w:numFmt w:val="lowerRoman"/>
      <w:lvlText w:val="%3."/>
      <w:lvlJc w:val="right"/>
      <w:pPr>
        <w:ind w:left="2945" w:hanging="180"/>
      </w:pPr>
    </w:lvl>
    <w:lvl w:ilvl="3" w:tplc="0419000F" w:tentative="1">
      <w:start w:val="1"/>
      <w:numFmt w:val="decimal"/>
      <w:lvlText w:val="%4."/>
      <w:lvlJc w:val="left"/>
      <w:pPr>
        <w:ind w:left="3665" w:hanging="360"/>
      </w:pPr>
    </w:lvl>
    <w:lvl w:ilvl="4" w:tplc="04190019" w:tentative="1">
      <w:start w:val="1"/>
      <w:numFmt w:val="lowerLetter"/>
      <w:lvlText w:val="%5."/>
      <w:lvlJc w:val="left"/>
      <w:pPr>
        <w:ind w:left="4385" w:hanging="360"/>
      </w:pPr>
    </w:lvl>
    <w:lvl w:ilvl="5" w:tplc="0419001B" w:tentative="1">
      <w:start w:val="1"/>
      <w:numFmt w:val="lowerRoman"/>
      <w:lvlText w:val="%6."/>
      <w:lvlJc w:val="right"/>
      <w:pPr>
        <w:ind w:left="5105" w:hanging="180"/>
      </w:pPr>
    </w:lvl>
    <w:lvl w:ilvl="6" w:tplc="0419000F" w:tentative="1">
      <w:start w:val="1"/>
      <w:numFmt w:val="decimal"/>
      <w:lvlText w:val="%7."/>
      <w:lvlJc w:val="left"/>
      <w:pPr>
        <w:ind w:left="5825" w:hanging="360"/>
      </w:pPr>
    </w:lvl>
    <w:lvl w:ilvl="7" w:tplc="04190019" w:tentative="1">
      <w:start w:val="1"/>
      <w:numFmt w:val="lowerLetter"/>
      <w:lvlText w:val="%8."/>
      <w:lvlJc w:val="left"/>
      <w:pPr>
        <w:ind w:left="6545" w:hanging="360"/>
      </w:pPr>
    </w:lvl>
    <w:lvl w:ilvl="8" w:tplc="0419001B" w:tentative="1">
      <w:start w:val="1"/>
      <w:numFmt w:val="lowerRoman"/>
      <w:lvlText w:val="%9."/>
      <w:lvlJc w:val="right"/>
      <w:pPr>
        <w:ind w:left="7265" w:hanging="180"/>
      </w:pPr>
    </w:lvl>
  </w:abstractNum>
  <w:abstractNum w:abstractNumId="8" w15:restartNumberingAfterBreak="0">
    <w:nsid w:val="4EDD3F96"/>
    <w:multiLevelType w:val="hybridMultilevel"/>
    <w:tmpl w:val="87925F44"/>
    <w:lvl w:ilvl="0" w:tplc="528AFFF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523A3EC6"/>
    <w:multiLevelType w:val="hybridMultilevel"/>
    <w:tmpl w:val="A3125366"/>
    <w:lvl w:ilvl="0" w:tplc="0419000F">
      <w:start w:val="1"/>
      <w:numFmt w:val="decimal"/>
      <w:lvlText w:val="%1."/>
      <w:lvlJc w:val="left"/>
      <w:pPr>
        <w:ind w:left="786" w:hanging="360"/>
      </w:pPr>
    </w:lvl>
    <w:lvl w:ilvl="1" w:tplc="04190019" w:tentative="1">
      <w:start w:val="1"/>
      <w:numFmt w:val="lowerLetter"/>
      <w:lvlText w:val="%2."/>
      <w:lvlJc w:val="left"/>
      <w:pPr>
        <w:ind w:left="2225" w:hanging="360"/>
      </w:pPr>
    </w:lvl>
    <w:lvl w:ilvl="2" w:tplc="0419001B" w:tentative="1">
      <w:start w:val="1"/>
      <w:numFmt w:val="lowerRoman"/>
      <w:lvlText w:val="%3."/>
      <w:lvlJc w:val="right"/>
      <w:pPr>
        <w:ind w:left="2945" w:hanging="180"/>
      </w:pPr>
    </w:lvl>
    <w:lvl w:ilvl="3" w:tplc="0419000F" w:tentative="1">
      <w:start w:val="1"/>
      <w:numFmt w:val="decimal"/>
      <w:lvlText w:val="%4."/>
      <w:lvlJc w:val="left"/>
      <w:pPr>
        <w:ind w:left="3665" w:hanging="360"/>
      </w:pPr>
    </w:lvl>
    <w:lvl w:ilvl="4" w:tplc="04190019" w:tentative="1">
      <w:start w:val="1"/>
      <w:numFmt w:val="lowerLetter"/>
      <w:lvlText w:val="%5."/>
      <w:lvlJc w:val="left"/>
      <w:pPr>
        <w:ind w:left="4385" w:hanging="360"/>
      </w:pPr>
    </w:lvl>
    <w:lvl w:ilvl="5" w:tplc="0419001B" w:tentative="1">
      <w:start w:val="1"/>
      <w:numFmt w:val="lowerRoman"/>
      <w:lvlText w:val="%6."/>
      <w:lvlJc w:val="right"/>
      <w:pPr>
        <w:ind w:left="5105" w:hanging="180"/>
      </w:pPr>
    </w:lvl>
    <w:lvl w:ilvl="6" w:tplc="0419000F" w:tentative="1">
      <w:start w:val="1"/>
      <w:numFmt w:val="decimal"/>
      <w:lvlText w:val="%7."/>
      <w:lvlJc w:val="left"/>
      <w:pPr>
        <w:ind w:left="5825" w:hanging="360"/>
      </w:pPr>
    </w:lvl>
    <w:lvl w:ilvl="7" w:tplc="04190019" w:tentative="1">
      <w:start w:val="1"/>
      <w:numFmt w:val="lowerLetter"/>
      <w:lvlText w:val="%8."/>
      <w:lvlJc w:val="left"/>
      <w:pPr>
        <w:ind w:left="6545" w:hanging="360"/>
      </w:pPr>
    </w:lvl>
    <w:lvl w:ilvl="8" w:tplc="0419001B" w:tentative="1">
      <w:start w:val="1"/>
      <w:numFmt w:val="lowerRoman"/>
      <w:lvlText w:val="%9."/>
      <w:lvlJc w:val="right"/>
      <w:pPr>
        <w:ind w:left="7265" w:hanging="180"/>
      </w:pPr>
    </w:lvl>
  </w:abstractNum>
  <w:abstractNum w:abstractNumId="10" w15:restartNumberingAfterBreak="0">
    <w:nsid w:val="5473106F"/>
    <w:multiLevelType w:val="hybridMultilevel"/>
    <w:tmpl w:val="2AAC554A"/>
    <w:lvl w:ilvl="0" w:tplc="04190001">
      <w:start w:val="1"/>
      <w:numFmt w:val="bullet"/>
      <w:lvlText w:val=""/>
      <w:lvlJc w:val="left"/>
      <w:pPr>
        <w:ind w:left="1505" w:hanging="360"/>
      </w:pPr>
      <w:rPr>
        <w:rFonts w:ascii="Symbol" w:hAnsi="Symbol" w:hint="default"/>
      </w:rPr>
    </w:lvl>
    <w:lvl w:ilvl="1" w:tplc="04190003" w:tentative="1">
      <w:start w:val="1"/>
      <w:numFmt w:val="bullet"/>
      <w:lvlText w:val="o"/>
      <w:lvlJc w:val="left"/>
      <w:pPr>
        <w:ind w:left="2225" w:hanging="360"/>
      </w:pPr>
      <w:rPr>
        <w:rFonts w:ascii="Courier New" w:hAnsi="Courier New" w:cs="Courier New" w:hint="default"/>
      </w:rPr>
    </w:lvl>
    <w:lvl w:ilvl="2" w:tplc="04190005" w:tentative="1">
      <w:start w:val="1"/>
      <w:numFmt w:val="bullet"/>
      <w:lvlText w:val=""/>
      <w:lvlJc w:val="left"/>
      <w:pPr>
        <w:ind w:left="2945" w:hanging="360"/>
      </w:pPr>
      <w:rPr>
        <w:rFonts w:ascii="Wingdings" w:hAnsi="Wingdings" w:hint="default"/>
      </w:rPr>
    </w:lvl>
    <w:lvl w:ilvl="3" w:tplc="04190001" w:tentative="1">
      <w:start w:val="1"/>
      <w:numFmt w:val="bullet"/>
      <w:lvlText w:val=""/>
      <w:lvlJc w:val="left"/>
      <w:pPr>
        <w:ind w:left="3665" w:hanging="360"/>
      </w:pPr>
      <w:rPr>
        <w:rFonts w:ascii="Symbol" w:hAnsi="Symbol" w:hint="default"/>
      </w:rPr>
    </w:lvl>
    <w:lvl w:ilvl="4" w:tplc="04190003" w:tentative="1">
      <w:start w:val="1"/>
      <w:numFmt w:val="bullet"/>
      <w:lvlText w:val="o"/>
      <w:lvlJc w:val="left"/>
      <w:pPr>
        <w:ind w:left="4385" w:hanging="360"/>
      </w:pPr>
      <w:rPr>
        <w:rFonts w:ascii="Courier New" w:hAnsi="Courier New" w:cs="Courier New" w:hint="default"/>
      </w:rPr>
    </w:lvl>
    <w:lvl w:ilvl="5" w:tplc="04190005" w:tentative="1">
      <w:start w:val="1"/>
      <w:numFmt w:val="bullet"/>
      <w:lvlText w:val=""/>
      <w:lvlJc w:val="left"/>
      <w:pPr>
        <w:ind w:left="5105" w:hanging="360"/>
      </w:pPr>
      <w:rPr>
        <w:rFonts w:ascii="Wingdings" w:hAnsi="Wingdings" w:hint="default"/>
      </w:rPr>
    </w:lvl>
    <w:lvl w:ilvl="6" w:tplc="04190001" w:tentative="1">
      <w:start w:val="1"/>
      <w:numFmt w:val="bullet"/>
      <w:lvlText w:val=""/>
      <w:lvlJc w:val="left"/>
      <w:pPr>
        <w:ind w:left="5825" w:hanging="360"/>
      </w:pPr>
      <w:rPr>
        <w:rFonts w:ascii="Symbol" w:hAnsi="Symbol" w:hint="default"/>
      </w:rPr>
    </w:lvl>
    <w:lvl w:ilvl="7" w:tplc="04190003" w:tentative="1">
      <w:start w:val="1"/>
      <w:numFmt w:val="bullet"/>
      <w:lvlText w:val="o"/>
      <w:lvlJc w:val="left"/>
      <w:pPr>
        <w:ind w:left="6545" w:hanging="360"/>
      </w:pPr>
      <w:rPr>
        <w:rFonts w:ascii="Courier New" w:hAnsi="Courier New" w:cs="Courier New" w:hint="default"/>
      </w:rPr>
    </w:lvl>
    <w:lvl w:ilvl="8" w:tplc="04190005" w:tentative="1">
      <w:start w:val="1"/>
      <w:numFmt w:val="bullet"/>
      <w:lvlText w:val=""/>
      <w:lvlJc w:val="left"/>
      <w:pPr>
        <w:ind w:left="7265" w:hanging="360"/>
      </w:pPr>
      <w:rPr>
        <w:rFonts w:ascii="Wingdings" w:hAnsi="Wingdings" w:hint="default"/>
      </w:rPr>
    </w:lvl>
  </w:abstractNum>
  <w:abstractNum w:abstractNumId="11" w15:restartNumberingAfterBreak="0">
    <w:nsid w:val="656D40B5"/>
    <w:multiLevelType w:val="multilevel"/>
    <w:tmpl w:val="1FD2471A"/>
    <w:lvl w:ilvl="0">
      <w:start w:val="1"/>
      <w:numFmt w:val="decimal"/>
      <w:lvlText w:val="%1."/>
      <w:lvlJc w:val="left"/>
      <w:pPr>
        <w:ind w:left="1864" w:hanging="1155"/>
      </w:pPr>
      <w:rPr>
        <w:rFonts w:hint="default"/>
      </w:rPr>
    </w:lvl>
    <w:lvl w:ilvl="1">
      <w:start w:val="1"/>
      <w:numFmt w:val="decimal"/>
      <w:isLgl/>
      <w:lvlText w:val="%1.%2"/>
      <w:lvlJc w:val="left"/>
      <w:pPr>
        <w:ind w:left="1084" w:hanging="375"/>
      </w:pPr>
      <w:rPr>
        <w:rFonts w:hint="default"/>
        <w:b w:val="0"/>
        <w:i w:val="0"/>
      </w:rPr>
    </w:lvl>
    <w:lvl w:ilvl="2">
      <w:start w:val="1"/>
      <w:numFmt w:val="decimal"/>
      <w:isLgl/>
      <w:lvlText w:val="%1.%2.%3"/>
      <w:lvlJc w:val="left"/>
      <w:pPr>
        <w:ind w:left="1429" w:hanging="720"/>
      </w:pPr>
      <w:rPr>
        <w:rFonts w:hint="default"/>
        <w:b w:val="0"/>
        <w:i/>
      </w:rPr>
    </w:lvl>
    <w:lvl w:ilvl="3">
      <w:start w:val="1"/>
      <w:numFmt w:val="decimal"/>
      <w:isLgl/>
      <w:lvlText w:val="%1.%2.%3.%4"/>
      <w:lvlJc w:val="left"/>
      <w:pPr>
        <w:ind w:left="1789" w:hanging="1080"/>
      </w:pPr>
      <w:rPr>
        <w:rFonts w:hint="default"/>
        <w:b w:val="0"/>
        <w:i/>
      </w:rPr>
    </w:lvl>
    <w:lvl w:ilvl="4">
      <w:start w:val="1"/>
      <w:numFmt w:val="decimal"/>
      <w:isLgl/>
      <w:lvlText w:val="%1.%2.%3.%4.%5"/>
      <w:lvlJc w:val="left"/>
      <w:pPr>
        <w:ind w:left="1789" w:hanging="1080"/>
      </w:pPr>
      <w:rPr>
        <w:rFonts w:hint="default"/>
        <w:b w:val="0"/>
        <w:i/>
      </w:rPr>
    </w:lvl>
    <w:lvl w:ilvl="5">
      <w:start w:val="1"/>
      <w:numFmt w:val="decimal"/>
      <w:isLgl/>
      <w:lvlText w:val="%1.%2.%3.%4.%5.%6"/>
      <w:lvlJc w:val="left"/>
      <w:pPr>
        <w:ind w:left="2149" w:hanging="1440"/>
      </w:pPr>
      <w:rPr>
        <w:rFonts w:hint="default"/>
        <w:b w:val="0"/>
        <w:i/>
      </w:rPr>
    </w:lvl>
    <w:lvl w:ilvl="6">
      <w:start w:val="1"/>
      <w:numFmt w:val="decimal"/>
      <w:isLgl/>
      <w:lvlText w:val="%1.%2.%3.%4.%5.%6.%7"/>
      <w:lvlJc w:val="left"/>
      <w:pPr>
        <w:ind w:left="2149" w:hanging="1440"/>
      </w:pPr>
      <w:rPr>
        <w:rFonts w:hint="default"/>
        <w:b w:val="0"/>
        <w:i/>
      </w:rPr>
    </w:lvl>
    <w:lvl w:ilvl="7">
      <w:start w:val="1"/>
      <w:numFmt w:val="decimal"/>
      <w:isLgl/>
      <w:lvlText w:val="%1.%2.%3.%4.%5.%6.%7.%8"/>
      <w:lvlJc w:val="left"/>
      <w:pPr>
        <w:ind w:left="2509" w:hanging="1800"/>
      </w:pPr>
      <w:rPr>
        <w:rFonts w:hint="default"/>
        <w:b w:val="0"/>
        <w:i/>
      </w:rPr>
    </w:lvl>
    <w:lvl w:ilvl="8">
      <w:start w:val="1"/>
      <w:numFmt w:val="decimal"/>
      <w:isLgl/>
      <w:lvlText w:val="%1.%2.%3.%4.%5.%6.%7.%8.%9"/>
      <w:lvlJc w:val="left"/>
      <w:pPr>
        <w:ind w:left="2869" w:hanging="2160"/>
      </w:pPr>
      <w:rPr>
        <w:rFonts w:hint="default"/>
        <w:b w:val="0"/>
        <w:i/>
      </w:rPr>
    </w:lvl>
  </w:abstractNum>
  <w:abstractNum w:abstractNumId="12" w15:restartNumberingAfterBreak="0">
    <w:nsid w:val="666B61A8"/>
    <w:multiLevelType w:val="hybridMultilevel"/>
    <w:tmpl w:val="1572180E"/>
    <w:lvl w:ilvl="0" w:tplc="50B8FD1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15:restartNumberingAfterBreak="0">
    <w:nsid w:val="6BBC5E80"/>
    <w:multiLevelType w:val="hybridMultilevel"/>
    <w:tmpl w:val="2E18AD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6D215A80"/>
    <w:multiLevelType w:val="hybridMultilevel"/>
    <w:tmpl w:val="8F96F7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4996C11"/>
    <w:multiLevelType w:val="hybridMultilevel"/>
    <w:tmpl w:val="A3125366"/>
    <w:lvl w:ilvl="0" w:tplc="0419000F">
      <w:start w:val="1"/>
      <w:numFmt w:val="decimal"/>
      <w:lvlText w:val="%1."/>
      <w:lvlJc w:val="left"/>
      <w:pPr>
        <w:ind w:left="786" w:hanging="360"/>
      </w:pPr>
    </w:lvl>
    <w:lvl w:ilvl="1" w:tplc="04190019" w:tentative="1">
      <w:start w:val="1"/>
      <w:numFmt w:val="lowerLetter"/>
      <w:lvlText w:val="%2."/>
      <w:lvlJc w:val="left"/>
      <w:pPr>
        <w:ind w:left="2225" w:hanging="360"/>
      </w:pPr>
    </w:lvl>
    <w:lvl w:ilvl="2" w:tplc="0419001B" w:tentative="1">
      <w:start w:val="1"/>
      <w:numFmt w:val="lowerRoman"/>
      <w:lvlText w:val="%3."/>
      <w:lvlJc w:val="right"/>
      <w:pPr>
        <w:ind w:left="2945" w:hanging="180"/>
      </w:pPr>
    </w:lvl>
    <w:lvl w:ilvl="3" w:tplc="0419000F" w:tentative="1">
      <w:start w:val="1"/>
      <w:numFmt w:val="decimal"/>
      <w:lvlText w:val="%4."/>
      <w:lvlJc w:val="left"/>
      <w:pPr>
        <w:ind w:left="3665" w:hanging="360"/>
      </w:pPr>
    </w:lvl>
    <w:lvl w:ilvl="4" w:tplc="04190019" w:tentative="1">
      <w:start w:val="1"/>
      <w:numFmt w:val="lowerLetter"/>
      <w:lvlText w:val="%5."/>
      <w:lvlJc w:val="left"/>
      <w:pPr>
        <w:ind w:left="4385" w:hanging="360"/>
      </w:pPr>
    </w:lvl>
    <w:lvl w:ilvl="5" w:tplc="0419001B" w:tentative="1">
      <w:start w:val="1"/>
      <w:numFmt w:val="lowerRoman"/>
      <w:lvlText w:val="%6."/>
      <w:lvlJc w:val="right"/>
      <w:pPr>
        <w:ind w:left="5105" w:hanging="180"/>
      </w:pPr>
    </w:lvl>
    <w:lvl w:ilvl="6" w:tplc="0419000F" w:tentative="1">
      <w:start w:val="1"/>
      <w:numFmt w:val="decimal"/>
      <w:lvlText w:val="%7."/>
      <w:lvlJc w:val="left"/>
      <w:pPr>
        <w:ind w:left="5825" w:hanging="360"/>
      </w:pPr>
    </w:lvl>
    <w:lvl w:ilvl="7" w:tplc="04190019" w:tentative="1">
      <w:start w:val="1"/>
      <w:numFmt w:val="lowerLetter"/>
      <w:lvlText w:val="%8."/>
      <w:lvlJc w:val="left"/>
      <w:pPr>
        <w:ind w:left="6545" w:hanging="360"/>
      </w:pPr>
    </w:lvl>
    <w:lvl w:ilvl="8" w:tplc="0419001B" w:tentative="1">
      <w:start w:val="1"/>
      <w:numFmt w:val="lowerRoman"/>
      <w:lvlText w:val="%9."/>
      <w:lvlJc w:val="right"/>
      <w:pPr>
        <w:ind w:left="7265" w:hanging="180"/>
      </w:pPr>
    </w:lvl>
  </w:abstractNum>
  <w:abstractNum w:abstractNumId="16" w15:restartNumberingAfterBreak="0">
    <w:nsid w:val="795C0CB6"/>
    <w:multiLevelType w:val="hybridMultilevel"/>
    <w:tmpl w:val="A3125366"/>
    <w:lvl w:ilvl="0" w:tplc="0419000F">
      <w:start w:val="1"/>
      <w:numFmt w:val="decimal"/>
      <w:lvlText w:val="%1."/>
      <w:lvlJc w:val="left"/>
      <w:pPr>
        <w:ind w:left="1505" w:hanging="360"/>
      </w:pPr>
    </w:lvl>
    <w:lvl w:ilvl="1" w:tplc="04190019" w:tentative="1">
      <w:start w:val="1"/>
      <w:numFmt w:val="lowerLetter"/>
      <w:lvlText w:val="%2."/>
      <w:lvlJc w:val="left"/>
      <w:pPr>
        <w:ind w:left="2225" w:hanging="360"/>
      </w:pPr>
    </w:lvl>
    <w:lvl w:ilvl="2" w:tplc="0419001B" w:tentative="1">
      <w:start w:val="1"/>
      <w:numFmt w:val="lowerRoman"/>
      <w:lvlText w:val="%3."/>
      <w:lvlJc w:val="right"/>
      <w:pPr>
        <w:ind w:left="2945" w:hanging="180"/>
      </w:pPr>
    </w:lvl>
    <w:lvl w:ilvl="3" w:tplc="0419000F" w:tentative="1">
      <w:start w:val="1"/>
      <w:numFmt w:val="decimal"/>
      <w:lvlText w:val="%4."/>
      <w:lvlJc w:val="left"/>
      <w:pPr>
        <w:ind w:left="3665" w:hanging="360"/>
      </w:pPr>
    </w:lvl>
    <w:lvl w:ilvl="4" w:tplc="04190019" w:tentative="1">
      <w:start w:val="1"/>
      <w:numFmt w:val="lowerLetter"/>
      <w:lvlText w:val="%5."/>
      <w:lvlJc w:val="left"/>
      <w:pPr>
        <w:ind w:left="4385" w:hanging="360"/>
      </w:pPr>
    </w:lvl>
    <w:lvl w:ilvl="5" w:tplc="0419001B" w:tentative="1">
      <w:start w:val="1"/>
      <w:numFmt w:val="lowerRoman"/>
      <w:lvlText w:val="%6."/>
      <w:lvlJc w:val="right"/>
      <w:pPr>
        <w:ind w:left="5105" w:hanging="180"/>
      </w:pPr>
    </w:lvl>
    <w:lvl w:ilvl="6" w:tplc="0419000F" w:tentative="1">
      <w:start w:val="1"/>
      <w:numFmt w:val="decimal"/>
      <w:lvlText w:val="%7."/>
      <w:lvlJc w:val="left"/>
      <w:pPr>
        <w:ind w:left="5825" w:hanging="360"/>
      </w:pPr>
    </w:lvl>
    <w:lvl w:ilvl="7" w:tplc="04190019" w:tentative="1">
      <w:start w:val="1"/>
      <w:numFmt w:val="lowerLetter"/>
      <w:lvlText w:val="%8."/>
      <w:lvlJc w:val="left"/>
      <w:pPr>
        <w:ind w:left="6545" w:hanging="360"/>
      </w:pPr>
    </w:lvl>
    <w:lvl w:ilvl="8" w:tplc="0419001B" w:tentative="1">
      <w:start w:val="1"/>
      <w:numFmt w:val="lowerRoman"/>
      <w:lvlText w:val="%9."/>
      <w:lvlJc w:val="right"/>
      <w:pPr>
        <w:ind w:left="7265" w:hanging="180"/>
      </w:pPr>
    </w:lvl>
  </w:abstractNum>
  <w:num w:numId="1">
    <w:abstractNumId w:val="14"/>
  </w:num>
  <w:num w:numId="2">
    <w:abstractNumId w:val="11"/>
  </w:num>
  <w:num w:numId="3">
    <w:abstractNumId w:val="6"/>
  </w:num>
  <w:num w:numId="4">
    <w:abstractNumId w:val="3"/>
  </w:num>
  <w:num w:numId="5">
    <w:abstractNumId w:val="2"/>
  </w:num>
  <w:num w:numId="6">
    <w:abstractNumId w:val="15"/>
  </w:num>
  <w:num w:numId="7">
    <w:abstractNumId w:val="4"/>
  </w:num>
  <w:num w:numId="8">
    <w:abstractNumId w:val="5"/>
  </w:num>
  <w:num w:numId="9">
    <w:abstractNumId w:val="12"/>
  </w:num>
  <w:num w:numId="10">
    <w:abstractNumId w:val="1"/>
  </w:num>
  <w:num w:numId="11">
    <w:abstractNumId w:val="16"/>
  </w:num>
  <w:num w:numId="12">
    <w:abstractNumId w:val="8"/>
  </w:num>
  <w:num w:numId="13">
    <w:abstractNumId w:val="10"/>
  </w:num>
  <w:num w:numId="14">
    <w:abstractNumId w:val="7"/>
  </w:num>
  <w:num w:numId="15">
    <w:abstractNumId w:val="13"/>
  </w:num>
  <w:num w:numId="16">
    <w:abstractNumId w:val="0"/>
  </w:num>
  <w:num w:numId="1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5372"/>
    <w:rsid w:val="000041DA"/>
    <w:rsid w:val="00014C4C"/>
    <w:rsid w:val="00056749"/>
    <w:rsid w:val="00076150"/>
    <w:rsid w:val="00092A00"/>
    <w:rsid w:val="00156E75"/>
    <w:rsid w:val="00196DEA"/>
    <w:rsid w:val="001C7C02"/>
    <w:rsid w:val="002013D1"/>
    <w:rsid w:val="00206389"/>
    <w:rsid w:val="00226313"/>
    <w:rsid w:val="00246730"/>
    <w:rsid w:val="00253CFF"/>
    <w:rsid w:val="00272689"/>
    <w:rsid w:val="00296639"/>
    <w:rsid w:val="002C7B03"/>
    <w:rsid w:val="00342C10"/>
    <w:rsid w:val="003527A1"/>
    <w:rsid w:val="00364368"/>
    <w:rsid w:val="00376EEB"/>
    <w:rsid w:val="003E5BC4"/>
    <w:rsid w:val="004023E0"/>
    <w:rsid w:val="004A3777"/>
    <w:rsid w:val="004C2139"/>
    <w:rsid w:val="00504C6D"/>
    <w:rsid w:val="0051163F"/>
    <w:rsid w:val="0051575F"/>
    <w:rsid w:val="0052181B"/>
    <w:rsid w:val="005253D4"/>
    <w:rsid w:val="005416A8"/>
    <w:rsid w:val="0056567D"/>
    <w:rsid w:val="00571C81"/>
    <w:rsid w:val="005A3A2E"/>
    <w:rsid w:val="005B56A4"/>
    <w:rsid w:val="005D33D9"/>
    <w:rsid w:val="005E52B4"/>
    <w:rsid w:val="005E7D59"/>
    <w:rsid w:val="0067225F"/>
    <w:rsid w:val="00673BF1"/>
    <w:rsid w:val="00684A80"/>
    <w:rsid w:val="0069119F"/>
    <w:rsid w:val="006C0994"/>
    <w:rsid w:val="006C31B4"/>
    <w:rsid w:val="006E566F"/>
    <w:rsid w:val="0071010A"/>
    <w:rsid w:val="00733A8A"/>
    <w:rsid w:val="00765C34"/>
    <w:rsid w:val="007731B7"/>
    <w:rsid w:val="008168A7"/>
    <w:rsid w:val="00832B5F"/>
    <w:rsid w:val="008534FE"/>
    <w:rsid w:val="0085742A"/>
    <w:rsid w:val="0086658F"/>
    <w:rsid w:val="00876DB3"/>
    <w:rsid w:val="00885776"/>
    <w:rsid w:val="00897ED4"/>
    <w:rsid w:val="008C7073"/>
    <w:rsid w:val="008F1C79"/>
    <w:rsid w:val="00975F4C"/>
    <w:rsid w:val="00985619"/>
    <w:rsid w:val="00995951"/>
    <w:rsid w:val="009D3300"/>
    <w:rsid w:val="009D7F97"/>
    <w:rsid w:val="00A007C8"/>
    <w:rsid w:val="00A27BC9"/>
    <w:rsid w:val="00A474DD"/>
    <w:rsid w:val="00B01203"/>
    <w:rsid w:val="00B101D5"/>
    <w:rsid w:val="00B15372"/>
    <w:rsid w:val="00B258DF"/>
    <w:rsid w:val="00B30220"/>
    <w:rsid w:val="00B746FE"/>
    <w:rsid w:val="00B80CCD"/>
    <w:rsid w:val="00BA3D37"/>
    <w:rsid w:val="00BE425B"/>
    <w:rsid w:val="00C2334F"/>
    <w:rsid w:val="00C32C1C"/>
    <w:rsid w:val="00C40033"/>
    <w:rsid w:val="00C96165"/>
    <w:rsid w:val="00CA443F"/>
    <w:rsid w:val="00CD184A"/>
    <w:rsid w:val="00CD60BB"/>
    <w:rsid w:val="00CE692E"/>
    <w:rsid w:val="00CF1D89"/>
    <w:rsid w:val="00D275FE"/>
    <w:rsid w:val="00D63C6F"/>
    <w:rsid w:val="00DC0088"/>
    <w:rsid w:val="00DF5CCB"/>
    <w:rsid w:val="00E05C44"/>
    <w:rsid w:val="00E06AF4"/>
    <w:rsid w:val="00E06C63"/>
    <w:rsid w:val="00E57525"/>
    <w:rsid w:val="00E8797B"/>
    <w:rsid w:val="00EB6746"/>
    <w:rsid w:val="00ED6772"/>
    <w:rsid w:val="00F12AEE"/>
    <w:rsid w:val="00F13374"/>
    <w:rsid w:val="00F40F07"/>
    <w:rsid w:val="00F42F15"/>
    <w:rsid w:val="00F50120"/>
    <w:rsid w:val="00F54BC5"/>
    <w:rsid w:val="00F623B9"/>
    <w:rsid w:val="00F66B6F"/>
    <w:rsid w:val="00F94ACF"/>
    <w:rsid w:val="00FA4411"/>
    <w:rsid w:val="00FD036A"/>
    <w:rsid w:val="00FD449E"/>
    <w:rsid w:val="00FF72D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DC66EF"/>
  <w15:docId w15:val="{D6D98D2D-10EA-4D3E-B4D4-36C7D467A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4A80"/>
    <w:rPr>
      <w:rFonts w:ascii="Times New Roman" w:hAnsi="Times New Roman"/>
      <w:sz w:val="28"/>
    </w:rPr>
  </w:style>
  <w:style w:type="paragraph" w:styleId="1">
    <w:name w:val="heading 1"/>
    <w:basedOn w:val="a"/>
    <w:next w:val="a"/>
    <w:link w:val="10"/>
    <w:uiPriority w:val="9"/>
    <w:qFormat/>
    <w:rsid w:val="00684A80"/>
    <w:pPr>
      <w:keepNext/>
      <w:keepLines/>
      <w:spacing w:before="480" w:after="0"/>
      <w:outlineLvl w:val="0"/>
    </w:pPr>
    <w:rPr>
      <w:rFonts w:asciiTheme="majorHAnsi" w:eastAsiaTheme="majorEastAsia" w:hAnsiTheme="majorHAnsi" w:cstheme="majorBidi"/>
      <w:b/>
      <w:bCs/>
      <w:color w:val="365F91" w:themeColor="accent1" w:themeShade="BF"/>
      <w:szCs w:val="28"/>
    </w:rPr>
  </w:style>
  <w:style w:type="paragraph" w:styleId="2">
    <w:name w:val="heading 2"/>
    <w:basedOn w:val="a"/>
    <w:next w:val="a"/>
    <w:link w:val="20"/>
    <w:unhideWhenUsed/>
    <w:qFormat/>
    <w:rsid w:val="00FA4411"/>
    <w:pPr>
      <w:keepNext/>
      <w:keepLines/>
      <w:spacing w:before="200" w:after="0" w:line="259" w:lineRule="auto"/>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References"/>
    <w:basedOn w:val="a"/>
    <w:link w:val="a4"/>
    <w:uiPriority w:val="34"/>
    <w:qFormat/>
    <w:rsid w:val="00684A80"/>
    <w:pPr>
      <w:ind w:left="720"/>
      <w:contextualSpacing/>
    </w:pPr>
  </w:style>
  <w:style w:type="character" w:customStyle="1" w:styleId="a4">
    <w:name w:val="Абзац списка Знак"/>
    <w:aliases w:val="References Знак"/>
    <w:link w:val="a3"/>
    <w:uiPriority w:val="34"/>
    <w:locked/>
    <w:rsid w:val="00684A80"/>
    <w:rPr>
      <w:rFonts w:ascii="Times New Roman" w:hAnsi="Times New Roman"/>
      <w:sz w:val="28"/>
    </w:rPr>
  </w:style>
  <w:style w:type="character" w:styleId="a5">
    <w:name w:val="Hyperlink"/>
    <w:basedOn w:val="a0"/>
    <w:uiPriority w:val="99"/>
    <w:unhideWhenUsed/>
    <w:rsid w:val="00684A80"/>
    <w:rPr>
      <w:color w:val="0000FF"/>
      <w:u w:val="single"/>
    </w:rPr>
  </w:style>
  <w:style w:type="character" w:customStyle="1" w:styleId="10">
    <w:name w:val="Заголовок 1 Знак"/>
    <w:basedOn w:val="a0"/>
    <w:link w:val="1"/>
    <w:uiPriority w:val="9"/>
    <w:rsid w:val="00684A80"/>
    <w:rPr>
      <w:rFonts w:asciiTheme="majorHAnsi" w:eastAsiaTheme="majorEastAsia" w:hAnsiTheme="majorHAnsi" w:cstheme="majorBidi"/>
      <w:b/>
      <w:bCs/>
      <w:color w:val="365F91" w:themeColor="accent1" w:themeShade="BF"/>
      <w:sz w:val="28"/>
      <w:szCs w:val="28"/>
    </w:rPr>
  </w:style>
  <w:style w:type="paragraph" w:styleId="a6">
    <w:name w:val="TOC Heading"/>
    <w:basedOn w:val="1"/>
    <w:next w:val="a"/>
    <w:uiPriority w:val="39"/>
    <w:unhideWhenUsed/>
    <w:qFormat/>
    <w:rsid w:val="00684A80"/>
    <w:pPr>
      <w:outlineLvl w:val="9"/>
    </w:pPr>
    <w:rPr>
      <w:lang w:val="tr-TR" w:eastAsia="tr-TR"/>
    </w:rPr>
  </w:style>
  <w:style w:type="paragraph" w:styleId="11">
    <w:name w:val="toc 1"/>
    <w:basedOn w:val="a"/>
    <w:next w:val="a"/>
    <w:autoRedefine/>
    <w:uiPriority w:val="39"/>
    <w:unhideWhenUsed/>
    <w:qFormat/>
    <w:rsid w:val="00684A80"/>
    <w:pPr>
      <w:tabs>
        <w:tab w:val="right" w:leader="dot" w:pos="9356"/>
      </w:tabs>
      <w:spacing w:after="100"/>
      <w:jc w:val="both"/>
    </w:pPr>
  </w:style>
  <w:style w:type="paragraph" w:styleId="a7">
    <w:name w:val="Balloon Text"/>
    <w:basedOn w:val="a"/>
    <w:link w:val="a8"/>
    <w:uiPriority w:val="99"/>
    <w:semiHidden/>
    <w:unhideWhenUsed/>
    <w:rsid w:val="00684A80"/>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684A80"/>
    <w:rPr>
      <w:rFonts w:ascii="Tahoma" w:hAnsi="Tahoma" w:cs="Tahoma"/>
      <w:sz w:val="16"/>
      <w:szCs w:val="16"/>
    </w:rPr>
  </w:style>
  <w:style w:type="paragraph" w:styleId="a9">
    <w:name w:val="header"/>
    <w:basedOn w:val="a"/>
    <w:link w:val="aa"/>
    <w:uiPriority w:val="99"/>
    <w:unhideWhenUsed/>
    <w:rsid w:val="00206389"/>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206389"/>
    <w:rPr>
      <w:rFonts w:ascii="Times New Roman" w:hAnsi="Times New Roman"/>
      <w:sz w:val="28"/>
    </w:rPr>
  </w:style>
  <w:style w:type="paragraph" w:styleId="ab">
    <w:name w:val="footer"/>
    <w:basedOn w:val="a"/>
    <w:link w:val="ac"/>
    <w:uiPriority w:val="99"/>
    <w:unhideWhenUsed/>
    <w:rsid w:val="00206389"/>
    <w:pPr>
      <w:tabs>
        <w:tab w:val="center" w:pos="4677"/>
        <w:tab w:val="right" w:pos="9355"/>
      </w:tabs>
      <w:spacing w:after="0" w:line="240" w:lineRule="auto"/>
    </w:pPr>
  </w:style>
  <w:style w:type="character" w:customStyle="1" w:styleId="ac">
    <w:name w:val="Нижний колонтитул Знак"/>
    <w:basedOn w:val="a0"/>
    <w:link w:val="ab"/>
    <w:uiPriority w:val="99"/>
    <w:rsid w:val="00206389"/>
    <w:rPr>
      <w:rFonts w:ascii="Times New Roman" w:hAnsi="Times New Roman"/>
      <w:sz w:val="28"/>
    </w:rPr>
  </w:style>
  <w:style w:type="paragraph" w:customStyle="1" w:styleId="Default">
    <w:name w:val="Default"/>
    <w:rsid w:val="00206389"/>
    <w:pPr>
      <w:autoSpaceDE w:val="0"/>
      <w:autoSpaceDN w:val="0"/>
      <w:adjustRightInd w:val="0"/>
      <w:spacing w:after="0" w:line="240" w:lineRule="auto"/>
    </w:pPr>
    <w:rPr>
      <w:rFonts w:ascii="Times New Roman" w:hAnsi="Times New Roman" w:cs="Times New Roman"/>
      <w:color w:val="000000"/>
      <w:sz w:val="24"/>
      <w:szCs w:val="24"/>
      <w:lang w:val="tr-TR"/>
    </w:rPr>
  </w:style>
  <w:style w:type="character" w:customStyle="1" w:styleId="20">
    <w:name w:val="Заголовок 2 Знак"/>
    <w:basedOn w:val="a0"/>
    <w:link w:val="2"/>
    <w:rsid w:val="00FA4411"/>
    <w:rPr>
      <w:rFonts w:asciiTheme="majorHAnsi" w:eastAsiaTheme="majorEastAsia" w:hAnsiTheme="majorHAnsi" w:cstheme="majorBidi"/>
      <w:b/>
      <w:bCs/>
      <w:color w:val="4F81BD" w:themeColor="accent1"/>
      <w:sz w:val="26"/>
      <w:szCs w:val="26"/>
    </w:rPr>
  </w:style>
  <w:style w:type="paragraph" w:styleId="ad">
    <w:name w:val="footnote text"/>
    <w:aliases w:val="ft,Footnote Text Char Char"/>
    <w:basedOn w:val="a"/>
    <w:link w:val="ae"/>
    <w:uiPriority w:val="99"/>
    <w:unhideWhenUsed/>
    <w:rsid w:val="00FA4411"/>
    <w:pPr>
      <w:spacing w:after="0" w:line="240" w:lineRule="auto"/>
    </w:pPr>
    <w:rPr>
      <w:rFonts w:asciiTheme="minorHAnsi" w:hAnsiTheme="minorHAnsi"/>
      <w:sz w:val="20"/>
      <w:szCs w:val="20"/>
    </w:rPr>
  </w:style>
  <w:style w:type="character" w:customStyle="1" w:styleId="ae">
    <w:name w:val="Текст сноски Знак"/>
    <w:aliases w:val="ft Знак,Footnote Text Char Char Знак"/>
    <w:basedOn w:val="a0"/>
    <w:link w:val="ad"/>
    <w:uiPriority w:val="99"/>
    <w:rsid w:val="00FA4411"/>
    <w:rPr>
      <w:sz w:val="20"/>
      <w:szCs w:val="20"/>
    </w:rPr>
  </w:style>
  <w:style w:type="character" w:styleId="af">
    <w:name w:val="footnote reference"/>
    <w:aliases w:val="ftref"/>
    <w:basedOn w:val="a0"/>
    <w:uiPriority w:val="99"/>
    <w:unhideWhenUsed/>
    <w:rsid w:val="00FA4411"/>
    <w:rPr>
      <w:vertAlign w:val="superscript"/>
    </w:rPr>
  </w:style>
  <w:style w:type="table" w:styleId="af0">
    <w:name w:val="Table Grid"/>
    <w:basedOn w:val="a1"/>
    <w:rsid w:val="00FA44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1">
    <w:name w:val="Medium Shading 2 Accent 1"/>
    <w:basedOn w:val="a1"/>
    <w:uiPriority w:val="64"/>
    <w:rsid w:val="008F1C79"/>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0">
    <w:name w:val="Medium List 2 Accent 1"/>
    <w:basedOn w:val="a1"/>
    <w:uiPriority w:val="66"/>
    <w:rsid w:val="008F1C79"/>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paragraph" w:styleId="af1">
    <w:name w:val="caption"/>
    <w:basedOn w:val="a"/>
    <w:next w:val="a"/>
    <w:unhideWhenUsed/>
    <w:qFormat/>
    <w:rsid w:val="001C7C02"/>
    <w:pPr>
      <w:spacing w:line="240" w:lineRule="auto"/>
    </w:pPr>
    <w:rPr>
      <w:b/>
      <w:bCs/>
      <w:color w:val="4F81BD" w:themeColor="accent1"/>
      <w:sz w:val="18"/>
      <w:szCs w:val="18"/>
    </w:rPr>
  </w:style>
  <w:style w:type="table" w:customStyle="1" w:styleId="2-11">
    <w:name w:val="Средняя заливка 2 - Акцент 11"/>
    <w:basedOn w:val="a1"/>
    <w:uiPriority w:val="64"/>
    <w:rsid w:val="00985619"/>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21">
    <w:name w:val="toc 2"/>
    <w:basedOn w:val="a"/>
    <w:next w:val="a"/>
    <w:autoRedefine/>
    <w:uiPriority w:val="39"/>
    <w:unhideWhenUsed/>
    <w:rsid w:val="00985619"/>
    <w:pPr>
      <w:spacing w:after="100"/>
      <w:ind w:left="220"/>
    </w:pPr>
    <w:rPr>
      <w:rFonts w:asciiTheme="minorHAnsi" w:hAnsiTheme="minorHAnsi"/>
      <w:sz w:val="22"/>
    </w:rPr>
  </w:style>
  <w:style w:type="character" w:styleId="af2">
    <w:name w:val="FollowedHyperlink"/>
    <w:basedOn w:val="a0"/>
    <w:uiPriority w:val="99"/>
    <w:semiHidden/>
    <w:unhideWhenUsed/>
    <w:rsid w:val="00B258DF"/>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2570649">
      <w:bodyDiv w:val="1"/>
      <w:marLeft w:val="0"/>
      <w:marRight w:val="0"/>
      <w:marTop w:val="0"/>
      <w:marBottom w:val="0"/>
      <w:divBdr>
        <w:top w:val="none" w:sz="0" w:space="0" w:color="auto"/>
        <w:left w:val="none" w:sz="0" w:space="0" w:color="auto"/>
        <w:bottom w:val="none" w:sz="0" w:space="0" w:color="auto"/>
        <w:right w:val="none" w:sz="0" w:space="0" w:color="auto"/>
      </w:divBdr>
    </w:div>
    <w:div w:id="1005283612">
      <w:bodyDiv w:val="1"/>
      <w:marLeft w:val="0"/>
      <w:marRight w:val="0"/>
      <w:marTop w:val="0"/>
      <w:marBottom w:val="0"/>
      <w:divBdr>
        <w:top w:val="none" w:sz="0" w:space="0" w:color="auto"/>
        <w:left w:val="none" w:sz="0" w:space="0" w:color="auto"/>
        <w:bottom w:val="none" w:sz="0" w:space="0" w:color="auto"/>
        <w:right w:val="none" w:sz="0" w:space="0" w:color="auto"/>
      </w:divBdr>
    </w:div>
    <w:div w:id="1968510097">
      <w:bodyDiv w:val="1"/>
      <w:marLeft w:val="0"/>
      <w:marRight w:val="0"/>
      <w:marTop w:val="0"/>
      <w:marBottom w:val="0"/>
      <w:divBdr>
        <w:top w:val="none" w:sz="0" w:space="0" w:color="auto"/>
        <w:left w:val="none" w:sz="0" w:space="0" w:color="auto"/>
        <w:bottom w:val="none" w:sz="0" w:space="0" w:color="auto"/>
        <w:right w:val="none" w:sz="0" w:space="0" w:color="auto"/>
      </w:divBdr>
    </w:div>
    <w:div w:id="1985347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3.emf"/><Relationship Id="rId18" Type="http://schemas.openxmlformats.org/officeDocument/2006/relationships/chart" Target="charts/chart1.xml"/><Relationship Id="rId26" Type="http://schemas.openxmlformats.org/officeDocument/2006/relationships/hyperlink" Target="https://www.bea.gov/regional/methods.cfm" TargetMode="External"/><Relationship Id="rId39" Type="http://schemas.openxmlformats.org/officeDocument/2006/relationships/oleObject" Target="embeddings/oleObject6.bin"/><Relationship Id="rId3" Type="http://schemas.openxmlformats.org/officeDocument/2006/relationships/styles" Target="styles.xml"/><Relationship Id="rId21" Type="http://schemas.openxmlformats.org/officeDocument/2006/relationships/chart" Target="charts/chart4.xml"/><Relationship Id="rId34" Type="http://schemas.openxmlformats.org/officeDocument/2006/relationships/image" Target="media/image10.wmf"/><Relationship Id="rId42"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image" Target="media/image6.emf"/><Relationship Id="rId25" Type="http://schemas.openxmlformats.org/officeDocument/2006/relationships/hyperlink" Target="https://www.bea.gov/regional/methods.cfm" TargetMode="External"/><Relationship Id="rId33" Type="http://schemas.openxmlformats.org/officeDocument/2006/relationships/oleObject" Target="embeddings/oleObject3.bin"/><Relationship Id="rId38" Type="http://schemas.openxmlformats.org/officeDocument/2006/relationships/image" Target="media/image12.wmf"/><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chart" Target="charts/chart3.xml"/><Relationship Id="rId29" Type="http://schemas.openxmlformats.org/officeDocument/2006/relationships/oleObject" Target="embeddings/oleObject1.bin"/><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24" Type="http://schemas.openxmlformats.org/officeDocument/2006/relationships/chart" Target="charts/chart7.xml"/><Relationship Id="rId32" Type="http://schemas.openxmlformats.org/officeDocument/2006/relationships/image" Target="media/image9.wmf"/><Relationship Id="rId37" Type="http://schemas.openxmlformats.org/officeDocument/2006/relationships/oleObject" Target="embeddings/oleObject5.bin"/><Relationship Id="rId40"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en.wikipedia.org/wiki/Harmonized_Index_of_Consumer_Prices" TargetMode="External"/><Relationship Id="rId23" Type="http://schemas.openxmlformats.org/officeDocument/2006/relationships/chart" Target="charts/chart6.xml"/><Relationship Id="rId28" Type="http://schemas.openxmlformats.org/officeDocument/2006/relationships/image" Target="media/image7.wmf"/><Relationship Id="rId36" Type="http://schemas.openxmlformats.org/officeDocument/2006/relationships/image" Target="media/image11.wmf"/><Relationship Id="rId10" Type="http://schemas.openxmlformats.org/officeDocument/2006/relationships/footer" Target="footer2.xml"/><Relationship Id="rId19" Type="http://schemas.openxmlformats.org/officeDocument/2006/relationships/chart" Target="charts/chart2.xml"/><Relationship Id="rId31"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4.emf"/><Relationship Id="rId22" Type="http://schemas.openxmlformats.org/officeDocument/2006/relationships/chart" Target="charts/chart5.xml"/><Relationship Id="rId27" Type="http://schemas.openxmlformats.org/officeDocument/2006/relationships/hyperlink" Target="https://www.bea.gov/regional/methods.cfm" TargetMode="External"/><Relationship Id="rId30" Type="http://schemas.openxmlformats.org/officeDocument/2006/relationships/image" Target="media/image8.wmf"/><Relationship Id="rId35" Type="http://schemas.openxmlformats.org/officeDocument/2006/relationships/oleObject" Target="embeddings/oleObject4.bin"/></Relationships>
</file>

<file path=word/charts/_rels/chart1.xml.rels><?xml version="1.0" encoding="UTF-8" standalone="yes"?>
<Relationships xmlns="http://schemas.openxmlformats.org/package/2006/relationships"><Relationship Id="rId1" Type="http://schemas.openxmlformats.org/officeDocument/2006/relationships/oleObject" Target="file:///C:\Users\Galina\Desktop\&#1048;&#1085;&#1092;&#1083;&#1103;&#1094;&#1080;&#1103;%20(1).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Zagidullina_g\Desktop\&#1048;&#1085;&#1092;&#1083;&#1103;&#1094;&#1080;&#1103;%20(1).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Users\Zagidullina_g\Desktop\&#1048;&#1085;&#1092;&#1083;&#1103;&#1094;&#1080;&#1103;%20(1).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C:\Users\Zagidullina_g\Desktop\&#1048;&#1085;&#1092;&#1083;&#1103;&#1094;&#1080;&#1103;%20(1).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C:\Users\Zagidullina_g\Desktop\&#1048;&#1085;&#1092;&#1083;&#1103;&#1094;&#1080;&#1103;%20(1).xlsx"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C:\Users\Zagidullina_g\Desktop\&#1048;&#1085;&#1092;&#1083;&#1103;&#1094;&#1080;&#1103;%20(1).xlsx"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file:///C:\Users\Zagidullina_g\Desktop\&#1048;&#1085;&#1092;&#1083;&#1103;&#1094;&#1080;&#1103;%20(1).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barChart>
        <c:barDir val="col"/>
        <c:grouping val="clustered"/>
        <c:varyColors val="0"/>
        <c:ser>
          <c:idx val="2"/>
          <c:order val="2"/>
          <c:tx>
            <c:strRef>
              <c:f>Инфографика!$B$5</c:f>
              <c:strCache>
                <c:ptCount val="1"/>
                <c:pt idx="0">
                  <c:v>Фармацевтические препараты</c:v>
                </c:pt>
              </c:strCache>
            </c:strRef>
          </c:tx>
          <c:spPr>
            <a:solidFill>
              <a:schemeClr val="accent3"/>
            </a:solidFill>
            <a:ln>
              <a:noFill/>
            </a:ln>
            <a:effectLst/>
          </c:spPr>
          <c:invertIfNegative val="0"/>
          <c:val>
            <c:numRef>
              <c:f>Инфографика!$C$5:$J$5</c:f>
              <c:numCache>
                <c:formatCode>General</c:formatCode>
                <c:ptCount val="8"/>
                <c:pt idx="0">
                  <c:v>107.6</c:v>
                </c:pt>
                <c:pt idx="1">
                  <c:v>103</c:v>
                </c:pt>
                <c:pt idx="2">
                  <c:v>102.6</c:v>
                </c:pt>
                <c:pt idx="3">
                  <c:v>103.4</c:v>
                </c:pt>
                <c:pt idx="4">
                  <c:v>113.1</c:v>
                </c:pt>
                <c:pt idx="5">
                  <c:v>131.30000000000001</c:v>
                </c:pt>
                <c:pt idx="6">
                  <c:v>117.7</c:v>
                </c:pt>
                <c:pt idx="7">
                  <c:v>106.6</c:v>
                </c:pt>
              </c:numCache>
            </c:numRef>
          </c:val>
          <c:extLst>
            <c:ext xmlns:c16="http://schemas.microsoft.com/office/drawing/2014/chart" uri="{C3380CC4-5D6E-409C-BE32-E72D297353CC}">
              <c16:uniqueId val="{00000000-59E7-42F5-B4F5-5A0235950F84}"/>
            </c:ext>
          </c:extLst>
        </c:ser>
        <c:ser>
          <c:idx val="3"/>
          <c:order val="3"/>
          <c:tx>
            <c:strRef>
              <c:f>Инфографика!$B$6</c:f>
              <c:strCache>
                <c:ptCount val="1"/>
                <c:pt idx="0">
                  <c:v>Прочая продукция</c:v>
                </c:pt>
              </c:strCache>
            </c:strRef>
          </c:tx>
          <c:spPr>
            <a:solidFill>
              <a:schemeClr val="accent4"/>
            </a:solidFill>
            <a:ln>
              <a:noFill/>
            </a:ln>
            <a:effectLst/>
          </c:spPr>
          <c:invertIfNegative val="0"/>
          <c:val>
            <c:numRef>
              <c:f>Инфографика!$C$6:$J$6</c:f>
              <c:numCache>
                <c:formatCode>General</c:formatCode>
                <c:ptCount val="8"/>
                <c:pt idx="0">
                  <c:v>103.6</c:v>
                </c:pt>
                <c:pt idx="1">
                  <c:v>111.9</c:v>
                </c:pt>
                <c:pt idx="2">
                  <c:v>105.4</c:v>
                </c:pt>
                <c:pt idx="3">
                  <c:v>104.2</c:v>
                </c:pt>
                <c:pt idx="4">
                  <c:v>106.1</c:v>
                </c:pt>
                <c:pt idx="5">
                  <c:v>108.5</c:v>
                </c:pt>
                <c:pt idx="6">
                  <c:v>110.1</c:v>
                </c:pt>
                <c:pt idx="7">
                  <c:v>105</c:v>
                </c:pt>
              </c:numCache>
            </c:numRef>
          </c:val>
          <c:extLst>
            <c:ext xmlns:c16="http://schemas.microsoft.com/office/drawing/2014/chart" uri="{C3380CC4-5D6E-409C-BE32-E72D297353CC}">
              <c16:uniqueId val="{00000001-59E7-42F5-B4F5-5A0235950F84}"/>
            </c:ext>
          </c:extLst>
        </c:ser>
        <c:ser>
          <c:idx val="4"/>
          <c:order val="4"/>
          <c:tx>
            <c:strRef>
              <c:f>Инфографика!$B$7</c:f>
              <c:strCache>
                <c:ptCount val="1"/>
                <c:pt idx="0">
                  <c:v>Лечебное оборудование и аппараты</c:v>
                </c:pt>
              </c:strCache>
            </c:strRef>
          </c:tx>
          <c:spPr>
            <a:solidFill>
              <a:schemeClr val="accent5"/>
            </a:solidFill>
            <a:ln>
              <a:noFill/>
            </a:ln>
            <a:effectLst/>
          </c:spPr>
          <c:invertIfNegative val="0"/>
          <c:val>
            <c:numRef>
              <c:f>Инфографика!$C$7:$J$7</c:f>
              <c:numCache>
                <c:formatCode>General</c:formatCode>
                <c:ptCount val="8"/>
                <c:pt idx="0">
                  <c:v>103.3</c:v>
                </c:pt>
                <c:pt idx="1">
                  <c:v>103.8</c:v>
                </c:pt>
                <c:pt idx="2">
                  <c:v>102.6</c:v>
                </c:pt>
                <c:pt idx="3">
                  <c:v>102.4</c:v>
                </c:pt>
                <c:pt idx="4">
                  <c:v>105.9</c:v>
                </c:pt>
                <c:pt idx="5">
                  <c:v>126.4</c:v>
                </c:pt>
                <c:pt idx="6">
                  <c:v>111.4</c:v>
                </c:pt>
                <c:pt idx="7">
                  <c:v>104.9</c:v>
                </c:pt>
              </c:numCache>
            </c:numRef>
          </c:val>
          <c:extLst>
            <c:ext xmlns:c16="http://schemas.microsoft.com/office/drawing/2014/chart" uri="{C3380CC4-5D6E-409C-BE32-E72D297353CC}">
              <c16:uniqueId val="{00000002-59E7-42F5-B4F5-5A0235950F84}"/>
            </c:ext>
          </c:extLst>
        </c:ser>
        <c:dLbls>
          <c:showLegendKey val="0"/>
          <c:showVal val="0"/>
          <c:showCatName val="0"/>
          <c:showSerName val="0"/>
          <c:showPercent val="0"/>
          <c:showBubbleSize val="0"/>
        </c:dLbls>
        <c:gapWidth val="269"/>
        <c:axId val="108511616"/>
        <c:axId val="108513536"/>
      </c:barChart>
      <c:lineChart>
        <c:grouping val="standard"/>
        <c:varyColors val="0"/>
        <c:ser>
          <c:idx val="0"/>
          <c:order val="0"/>
          <c:tx>
            <c:strRef>
              <c:f>Инфографика!$A$4</c:f>
              <c:strCache>
                <c:ptCount val="1"/>
                <c:pt idx="0">
                  <c:v>Медикаменты, лечебное оборудование и аппаратура</c:v>
                </c:pt>
              </c:strCache>
            </c:strRef>
          </c:tx>
          <c:spPr>
            <a:ln w="38100" cap="rnd">
              <a:solidFill>
                <a:schemeClr val="accent1"/>
              </a:solidFill>
              <a:round/>
            </a:ln>
            <a:effectLst/>
          </c:spPr>
          <c:marker>
            <c:symbol val="circle"/>
            <c:size val="8"/>
            <c:spPr>
              <a:solidFill>
                <a:schemeClr val="accent1"/>
              </a:solidFill>
              <a:ln>
                <a:noFill/>
              </a:ln>
              <a:effectLst/>
            </c:spPr>
          </c:marker>
          <c:cat>
            <c:numRef>
              <c:f>Инфографика!$C$3:$J$3</c:f>
              <c:numCache>
                <c:formatCode>General</c:formatCode>
                <c:ptCount val="8"/>
                <c:pt idx="0">
                  <c:v>2010</c:v>
                </c:pt>
                <c:pt idx="1">
                  <c:v>2011</c:v>
                </c:pt>
                <c:pt idx="2">
                  <c:v>2012</c:v>
                </c:pt>
                <c:pt idx="3">
                  <c:v>2013</c:v>
                </c:pt>
                <c:pt idx="4">
                  <c:v>2014</c:v>
                </c:pt>
                <c:pt idx="5">
                  <c:v>2015</c:v>
                </c:pt>
                <c:pt idx="6">
                  <c:v>2016</c:v>
                </c:pt>
                <c:pt idx="7">
                  <c:v>2017</c:v>
                </c:pt>
              </c:numCache>
            </c:numRef>
          </c:cat>
          <c:val>
            <c:numRef>
              <c:f>Инфографика!$C$4:$J$4</c:f>
              <c:numCache>
                <c:formatCode>General</c:formatCode>
                <c:ptCount val="8"/>
                <c:pt idx="0">
                  <c:v>107.3</c:v>
                </c:pt>
                <c:pt idx="1">
                  <c:v>103.5</c:v>
                </c:pt>
                <c:pt idx="2">
                  <c:v>102.7</c:v>
                </c:pt>
                <c:pt idx="3">
                  <c:v>103.4</c:v>
                </c:pt>
                <c:pt idx="4">
                  <c:v>112.7</c:v>
                </c:pt>
                <c:pt idx="5">
                  <c:v>130.69999999999999</c:v>
                </c:pt>
                <c:pt idx="6">
                  <c:v>117.3</c:v>
                </c:pt>
                <c:pt idx="7">
                  <c:v>106.5</c:v>
                </c:pt>
              </c:numCache>
            </c:numRef>
          </c:val>
          <c:smooth val="0"/>
          <c:extLst>
            <c:ext xmlns:c16="http://schemas.microsoft.com/office/drawing/2014/chart" uri="{C3380CC4-5D6E-409C-BE32-E72D297353CC}">
              <c16:uniqueId val="{00000003-59E7-42F5-B4F5-5A0235950F84}"/>
            </c:ext>
          </c:extLst>
        </c:ser>
        <c:ser>
          <c:idx val="1"/>
          <c:order val="1"/>
          <c:tx>
            <c:strRef>
              <c:f>Инфографика!$A$13</c:f>
              <c:strCache>
                <c:ptCount val="1"/>
                <c:pt idx="0">
                  <c:v>Индекс потребительских цен</c:v>
                </c:pt>
              </c:strCache>
            </c:strRef>
          </c:tx>
          <c:spPr>
            <a:ln w="38100" cap="rnd">
              <a:solidFill>
                <a:schemeClr val="accent2"/>
              </a:solidFill>
              <a:round/>
            </a:ln>
            <a:effectLst/>
          </c:spPr>
          <c:marker>
            <c:symbol val="circle"/>
            <c:size val="8"/>
            <c:spPr>
              <a:solidFill>
                <a:schemeClr val="accent2"/>
              </a:solidFill>
              <a:ln>
                <a:noFill/>
              </a:ln>
              <a:effectLst/>
            </c:spPr>
          </c:marker>
          <c:val>
            <c:numRef>
              <c:f>Инфографика!$C$13:$J$13</c:f>
              <c:numCache>
                <c:formatCode>General</c:formatCode>
                <c:ptCount val="8"/>
                <c:pt idx="0">
                  <c:v>107.8</c:v>
                </c:pt>
                <c:pt idx="1">
                  <c:v>107.4</c:v>
                </c:pt>
                <c:pt idx="2">
                  <c:v>106</c:v>
                </c:pt>
                <c:pt idx="3">
                  <c:v>104.8</c:v>
                </c:pt>
                <c:pt idx="4">
                  <c:v>107.4</c:v>
                </c:pt>
                <c:pt idx="5">
                  <c:v>113.6</c:v>
                </c:pt>
                <c:pt idx="6">
                  <c:v>108.5</c:v>
                </c:pt>
                <c:pt idx="7">
                  <c:v>107.1</c:v>
                </c:pt>
              </c:numCache>
            </c:numRef>
          </c:val>
          <c:smooth val="0"/>
          <c:extLst>
            <c:ext xmlns:c16="http://schemas.microsoft.com/office/drawing/2014/chart" uri="{C3380CC4-5D6E-409C-BE32-E72D297353CC}">
              <c16:uniqueId val="{00000004-59E7-42F5-B4F5-5A0235950F84}"/>
            </c:ext>
          </c:extLst>
        </c:ser>
        <c:dLbls>
          <c:showLegendKey val="0"/>
          <c:showVal val="0"/>
          <c:showCatName val="0"/>
          <c:showSerName val="0"/>
          <c:showPercent val="0"/>
          <c:showBubbleSize val="0"/>
        </c:dLbls>
        <c:marker val="1"/>
        <c:smooth val="0"/>
        <c:axId val="108511616"/>
        <c:axId val="108513536"/>
      </c:lineChart>
      <c:catAx>
        <c:axId val="108511616"/>
        <c:scaling>
          <c:orientation val="minMax"/>
        </c:scaling>
        <c:delete val="0"/>
        <c:axPos val="b"/>
        <c:numFmt formatCode="General" sourceLinked="1"/>
        <c:majorTickMark val="out"/>
        <c:minorTickMark val="none"/>
        <c:tickLblPos val="nextTo"/>
        <c:spPr>
          <a:noFill/>
          <a:ln w="9525" cap="flat" cmpd="sng" algn="ctr">
            <a:solidFill>
              <a:schemeClr val="tx1">
                <a:lumMod val="15000"/>
                <a:lumOff val="85000"/>
              </a:schemeClr>
            </a:solidFill>
            <a:round/>
          </a:ln>
          <a:effectLst/>
        </c:spPr>
        <c:txPr>
          <a:bodyPr rot="-60000000" vert="horz"/>
          <a:lstStyle/>
          <a:p>
            <a:pPr>
              <a:defRPr/>
            </a:pPr>
            <a:endParaRPr lang="ru-RU"/>
          </a:p>
        </c:txPr>
        <c:crossAx val="108513536"/>
        <c:crosses val="autoZero"/>
        <c:auto val="1"/>
        <c:lblAlgn val="ctr"/>
        <c:lblOffset val="100"/>
        <c:noMultiLvlLbl val="0"/>
      </c:catAx>
      <c:valAx>
        <c:axId val="108513536"/>
        <c:scaling>
          <c:orientation val="minMax"/>
          <c:min val="100"/>
        </c:scaling>
        <c:delete val="0"/>
        <c:axPos val="l"/>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numFmt formatCode="General" sourceLinked="1"/>
        <c:majorTickMark val="none"/>
        <c:minorTickMark val="none"/>
        <c:tickLblPos val="nextTo"/>
        <c:spPr>
          <a:noFill/>
          <a:ln>
            <a:noFill/>
          </a:ln>
          <a:effectLst/>
        </c:spPr>
        <c:txPr>
          <a:bodyPr rot="-60000000" vert="horz"/>
          <a:lstStyle/>
          <a:p>
            <a:pPr>
              <a:defRPr/>
            </a:pPr>
            <a:endParaRPr lang="ru-RU"/>
          </a:p>
        </c:txPr>
        <c:crossAx val="108511616"/>
        <c:crosses val="autoZero"/>
        <c:crossBetween val="between"/>
      </c:valAx>
      <c:dTable>
        <c:showHorzBorder val="1"/>
        <c:showVertBorder val="1"/>
        <c:showOutline val="1"/>
        <c:showKeys val="1"/>
        <c:spPr>
          <a:noFill/>
          <a:ln w="9525">
            <a:solidFill>
              <a:schemeClr val="tx1">
                <a:lumMod val="15000"/>
                <a:lumOff val="85000"/>
              </a:schemeClr>
            </a:solidFill>
          </a:ln>
          <a:effectLst/>
        </c:spPr>
      </c:dTable>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lgn="just">
        <a:defRPr sz="700">
          <a:solidFill>
            <a:sysClr val="windowText" lastClr="000000"/>
          </a:solidFill>
          <a:latin typeface="Century Gothic" panose="020B0502020202020204" pitchFamily="34" charset="0"/>
        </a:defRPr>
      </a:pPr>
      <a:endParaRPr lang="ru-RU"/>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'Темп инфляции'!$A$4</c:f>
              <c:strCache>
                <c:ptCount val="1"/>
                <c:pt idx="0">
                  <c:v>Медикаменты, лечебное оборудование и аппаратура</c:v>
                </c:pt>
              </c:strCache>
            </c:strRef>
          </c:tx>
          <c:invertIfNegative val="0"/>
          <c:cat>
            <c:numRef>
              <c:f>'Темп инфляции'!$D$3:$J$3</c:f>
              <c:numCache>
                <c:formatCode>General</c:formatCode>
                <c:ptCount val="7"/>
                <c:pt idx="0">
                  <c:v>2011</c:v>
                </c:pt>
                <c:pt idx="1">
                  <c:v>2012</c:v>
                </c:pt>
                <c:pt idx="2">
                  <c:v>2013</c:v>
                </c:pt>
                <c:pt idx="3">
                  <c:v>2014</c:v>
                </c:pt>
                <c:pt idx="4">
                  <c:v>2015</c:v>
                </c:pt>
                <c:pt idx="5">
                  <c:v>2016</c:v>
                </c:pt>
                <c:pt idx="6">
                  <c:v>2017</c:v>
                </c:pt>
              </c:numCache>
            </c:numRef>
          </c:cat>
          <c:val>
            <c:numRef>
              <c:f>'Темп инфляции'!$D$4:$J$4</c:f>
              <c:numCache>
                <c:formatCode>0.0%</c:formatCode>
                <c:ptCount val="7"/>
                <c:pt idx="0">
                  <c:v>-3.5414725069897457E-2</c:v>
                </c:pt>
                <c:pt idx="1">
                  <c:v>-7.7294685990338006E-3</c:v>
                </c:pt>
                <c:pt idx="2">
                  <c:v>6.8159688412853274E-3</c:v>
                </c:pt>
                <c:pt idx="3">
                  <c:v>8.9941972920696472E-2</c:v>
                </c:pt>
                <c:pt idx="4">
                  <c:v>0.15971606033717853</c:v>
                </c:pt>
                <c:pt idx="5">
                  <c:v>-0.10252486610558526</c:v>
                </c:pt>
                <c:pt idx="6">
                  <c:v>-9.2071611253196808E-2</c:v>
                </c:pt>
              </c:numCache>
            </c:numRef>
          </c:val>
          <c:extLst>
            <c:ext xmlns:c16="http://schemas.microsoft.com/office/drawing/2014/chart" uri="{C3380CC4-5D6E-409C-BE32-E72D297353CC}">
              <c16:uniqueId val="{00000000-E7BC-4D84-9FE6-88E0CF669147}"/>
            </c:ext>
          </c:extLst>
        </c:ser>
        <c:ser>
          <c:idx val="1"/>
          <c:order val="1"/>
          <c:tx>
            <c:strRef>
              <c:f>'Темп инфляции'!$A$13</c:f>
              <c:strCache>
                <c:ptCount val="1"/>
                <c:pt idx="0">
                  <c:v>Индекс потребительских цен</c:v>
                </c:pt>
              </c:strCache>
            </c:strRef>
          </c:tx>
          <c:invertIfNegative val="0"/>
          <c:cat>
            <c:numRef>
              <c:f>'Темп инфляции'!$D$3:$J$3</c:f>
              <c:numCache>
                <c:formatCode>General</c:formatCode>
                <c:ptCount val="7"/>
                <c:pt idx="0">
                  <c:v>2011</c:v>
                </c:pt>
                <c:pt idx="1">
                  <c:v>2012</c:v>
                </c:pt>
                <c:pt idx="2">
                  <c:v>2013</c:v>
                </c:pt>
                <c:pt idx="3">
                  <c:v>2014</c:v>
                </c:pt>
                <c:pt idx="4">
                  <c:v>2015</c:v>
                </c:pt>
                <c:pt idx="5">
                  <c:v>2016</c:v>
                </c:pt>
                <c:pt idx="6">
                  <c:v>2017</c:v>
                </c:pt>
              </c:numCache>
            </c:numRef>
          </c:cat>
          <c:val>
            <c:numRef>
              <c:f>'Темп инфляции'!$D$13:$J$13</c:f>
              <c:numCache>
                <c:formatCode>0.0%</c:formatCode>
                <c:ptCount val="7"/>
                <c:pt idx="0">
                  <c:v>-3.7105751391464914E-3</c:v>
                </c:pt>
                <c:pt idx="1">
                  <c:v>-1.3035381750465603E-2</c:v>
                </c:pt>
                <c:pt idx="2">
                  <c:v>-1.1320754716981187E-2</c:v>
                </c:pt>
                <c:pt idx="3">
                  <c:v>2.4809160305343612E-2</c:v>
                </c:pt>
                <c:pt idx="4">
                  <c:v>5.7728119180633093E-2</c:v>
                </c:pt>
                <c:pt idx="5">
                  <c:v>-4.4894366197183094E-2</c:v>
                </c:pt>
                <c:pt idx="6">
                  <c:v>-1.2903225806451665E-2</c:v>
                </c:pt>
              </c:numCache>
            </c:numRef>
          </c:val>
          <c:extLst>
            <c:ext xmlns:c16="http://schemas.microsoft.com/office/drawing/2014/chart" uri="{C3380CC4-5D6E-409C-BE32-E72D297353CC}">
              <c16:uniqueId val="{00000001-E7BC-4D84-9FE6-88E0CF669147}"/>
            </c:ext>
          </c:extLst>
        </c:ser>
        <c:dLbls>
          <c:showLegendKey val="0"/>
          <c:showVal val="0"/>
          <c:showCatName val="0"/>
          <c:showSerName val="0"/>
          <c:showPercent val="0"/>
          <c:showBubbleSize val="0"/>
        </c:dLbls>
        <c:gapWidth val="150"/>
        <c:axId val="108268928"/>
        <c:axId val="108270720"/>
      </c:barChart>
      <c:catAx>
        <c:axId val="108268928"/>
        <c:scaling>
          <c:orientation val="minMax"/>
        </c:scaling>
        <c:delete val="0"/>
        <c:axPos val="b"/>
        <c:numFmt formatCode="General" sourceLinked="1"/>
        <c:majorTickMark val="out"/>
        <c:minorTickMark val="none"/>
        <c:tickLblPos val="nextTo"/>
        <c:txPr>
          <a:bodyPr/>
          <a:lstStyle/>
          <a:p>
            <a:pPr>
              <a:defRPr b="1"/>
            </a:pPr>
            <a:endParaRPr lang="ru-RU"/>
          </a:p>
        </c:txPr>
        <c:crossAx val="108270720"/>
        <c:crosses val="autoZero"/>
        <c:auto val="1"/>
        <c:lblAlgn val="ctr"/>
        <c:lblOffset val="100"/>
        <c:noMultiLvlLbl val="0"/>
      </c:catAx>
      <c:valAx>
        <c:axId val="108270720"/>
        <c:scaling>
          <c:orientation val="minMax"/>
        </c:scaling>
        <c:delete val="0"/>
        <c:axPos val="l"/>
        <c:majorGridlines/>
        <c:numFmt formatCode="0.0%" sourceLinked="1"/>
        <c:majorTickMark val="out"/>
        <c:minorTickMark val="none"/>
        <c:tickLblPos val="nextTo"/>
        <c:crossAx val="108268928"/>
        <c:crosses val="autoZero"/>
        <c:crossBetween val="between"/>
      </c:valAx>
    </c:plotArea>
    <c:legend>
      <c:legendPos val="b"/>
      <c:layout>
        <c:manualLayout>
          <c:xMode val="edge"/>
          <c:yMode val="edge"/>
          <c:x val="4.7052291540480601E-2"/>
          <c:y val="0.78336918752486917"/>
          <c:w val="0.92766925768894348"/>
          <c:h val="0.18420245170323396"/>
        </c:manualLayout>
      </c:layout>
      <c:overlay val="0"/>
      <c:txPr>
        <a:bodyPr/>
        <a:lstStyle/>
        <a:p>
          <a:pPr>
            <a:defRPr b="1"/>
          </a:pPr>
          <a:endParaRPr lang="ru-RU"/>
        </a:p>
      </c:txPr>
    </c:legend>
    <c:plotVisOnly val="1"/>
    <c:dispBlanksAs val="gap"/>
    <c:showDLblsOverMax val="0"/>
  </c:chart>
  <c:txPr>
    <a:bodyPr/>
    <a:lstStyle/>
    <a:p>
      <a:pPr>
        <a:defRPr>
          <a:latin typeface="Century Gothic" panose="020B0502020202020204" pitchFamily="34" charset="0"/>
          <a:cs typeface="Times New Roman" panose="02020603050405020304" pitchFamily="18" charset="0"/>
        </a:defRPr>
      </a:pPr>
      <a:endParaRPr lang="ru-RU"/>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barChart>
        <c:barDir val="col"/>
        <c:grouping val="clustered"/>
        <c:varyColors val="0"/>
        <c:ser>
          <c:idx val="0"/>
          <c:order val="0"/>
          <c:tx>
            <c:strRef>
              <c:f>Инфографика!$A$8</c:f>
              <c:strCache>
                <c:ptCount val="1"/>
                <c:pt idx="0">
                  <c:v>Амбулаторные услуги</c:v>
                </c:pt>
              </c:strCache>
            </c:strRef>
          </c:tx>
          <c:spPr>
            <a:solidFill>
              <a:schemeClr val="accent1"/>
            </a:solidFill>
            <a:ln>
              <a:noFill/>
            </a:ln>
            <a:effectLst/>
          </c:spPr>
          <c:invertIfNegative val="0"/>
          <c:dLbls>
            <c:dLbl>
              <c:idx val="0"/>
              <c:layout>
                <c:manualLayout>
                  <c:x val="0"/>
                  <c:y val="1.6981008843381343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5956-4D24-9228-7B41CB9DB76F}"/>
                </c:ext>
              </c:extLst>
            </c:dLbl>
            <c:dLbl>
              <c:idx val="1"/>
              <c:layout>
                <c:manualLayout>
                  <c:x val="-1.6902518164661606E-2"/>
                  <c:y val="1.6437231400254906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5956-4D24-9228-7B41CB9DB76F}"/>
                </c:ext>
              </c:extLst>
            </c:dLbl>
            <c:dLbl>
              <c:idx val="2"/>
              <c:layout>
                <c:manualLayout>
                  <c:x val="0"/>
                  <c:y val="1.3406707832522485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5956-4D24-9228-7B41CB9DB76F}"/>
                </c:ext>
              </c:extLst>
            </c:dLbl>
            <c:dLbl>
              <c:idx val="3"/>
              <c:layout>
                <c:manualLayout>
                  <c:x val="0"/>
                  <c:y val="1.8923231090484643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5956-4D24-9228-7B41CB9DB76F}"/>
                </c:ext>
              </c:extLst>
            </c:dLbl>
            <c:dLbl>
              <c:idx val="4"/>
              <c:layout>
                <c:manualLayout>
                  <c:x val="0"/>
                  <c:y val="1.6436858183066741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5956-4D24-9228-7B41CB9DB76F}"/>
                </c:ext>
              </c:extLst>
            </c:dLbl>
            <c:dLbl>
              <c:idx val="5"/>
              <c:layout>
                <c:manualLayout>
                  <c:x val="-1.690251816466171E-2"/>
                  <c:y val="2.1876125483083021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5956-4D24-9228-7B41CB9DB76F}"/>
                </c:ext>
              </c:extLst>
            </c:dLbl>
            <c:dLbl>
              <c:idx val="6"/>
              <c:layout>
                <c:manualLayout>
                  <c:x val="0"/>
                  <c:y val="1.4261375193373171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5956-4D24-9228-7B41CB9DB76F}"/>
                </c:ext>
              </c:extLst>
            </c:dLbl>
            <c:dLbl>
              <c:idx val="7"/>
              <c:layout>
                <c:manualLayout>
                  <c:x val="-1.032919733241313E-16"/>
                  <c:y val="2.1565608782546836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5956-4D24-9228-7B41CB9DB76F}"/>
                </c:ext>
              </c:extLst>
            </c:dLbl>
            <c:spPr>
              <a:solidFill>
                <a:schemeClr val="lt1"/>
              </a:solidFill>
              <a:ln w="25400" cap="flat" cmpd="sng" algn="ctr">
                <a:solidFill>
                  <a:schemeClr val="accent1"/>
                </a:solidFill>
                <a:prstDash val="solid"/>
              </a:ln>
              <a:effectLst/>
            </c:spPr>
            <c:txPr>
              <a:bodyPr rot="0" spcFirstLastPara="1" vertOverflow="ellipsis" vert="horz" wrap="square" anchor="ctr" anchorCtr="1"/>
              <a:lstStyle/>
              <a:p>
                <a:pPr>
                  <a:defRPr sz="900" b="1" i="0" u="none" strike="noStrike" kern="1200" baseline="0">
                    <a:solidFill>
                      <a:schemeClr val="dk1"/>
                    </a:solidFill>
                    <a:latin typeface="+mn-lt"/>
                    <a:ea typeface="+mn-ea"/>
                    <a:cs typeface="+mn-cs"/>
                  </a:defRPr>
                </a:pPr>
                <a:endParaRPr lang="ru-RU"/>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35000"/>
                          <a:lumOff val="65000"/>
                        </a:schemeClr>
                      </a:solidFill>
                    </a:ln>
                    <a:effectLst/>
                  </c:spPr>
                </c15:leaderLines>
              </c:ext>
            </c:extLst>
          </c:dLbls>
          <c:cat>
            <c:numRef>
              <c:f>Инфографика!$C$3:$J$3</c:f>
              <c:numCache>
                <c:formatCode>General</c:formatCode>
                <c:ptCount val="8"/>
                <c:pt idx="0">
                  <c:v>2010</c:v>
                </c:pt>
                <c:pt idx="1">
                  <c:v>2011</c:v>
                </c:pt>
                <c:pt idx="2">
                  <c:v>2012</c:v>
                </c:pt>
                <c:pt idx="3">
                  <c:v>2013</c:v>
                </c:pt>
                <c:pt idx="4">
                  <c:v>2014</c:v>
                </c:pt>
                <c:pt idx="5">
                  <c:v>2015</c:v>
                </c:pt>
                <c:pt idx="6">
                  <c:v>2016</c:v>
                </c:pt>
                <c:pt idx="7">
                  <c:v>2017</c:v>
                </c:pt>
              </c:numCache>
            </c:numRef>
          </c:cat>
          <c:val>
            <c:numRef>
              <c:f>Инфографика!$C$8:$J$8</c:f>
              <c:numCache>
                <c:formatCode>General</c:formatCode>
                <c:ptCount val="8"/>
                <c:pt idx="0">
                  <c:v>109.8</c:v>
                </c:pt>
                <c:pt idx="1">
                  <c:v>106.2</c:v>
                </c:pt>
                <c:pt idx="2">
                  <c:v>108.8</c:v>
                </c:pt>
                <c:pt idx="3">
                  <c:v>112.2</c:v>
                </c:pt>
                <c:pt idx="4">
                  <c:v>112.3</c:v>
                </c:pt>
                <c:pt idx="5">
                  <c:v>111.7</c:v>
                </c:pt>
                <c:pt idx="6">
                  <c:v>110.1</c:v>
                </c:pt>
                <c:pt idx="7">
                  <c:v>107.9</c:v>
                </c:pt>
              </c:numCache>
            </c:numRef>
          </c:val>
          <c:extLst>
            <c:ext xmlns:c16="http://schemas.microsoft.com/office/drawing/2014/chart" uri="{C3380CC4-5D6E-409C-BE32-E72D297353CC}">
              <c16:uniqueId val="{00000008-5956-4D24-9228-7B41CB9DB76F}"/>
            </c:ext>
          </c:extLst>
        </c:ser>
        <c:ser>
          <c:idx val="1"/>
          <c:order val="1"/>
          <c:tx>
            <c:strRef>
              <c:f>Инфографика!$A$13</c:f>
              <c:strCache>
                <c:ptCount val="1"/>
                <c:pt idx="0">
                  <c:v>Индекс потребительских цен</c:v>
                </c:pt>
              </c:strCache>
            </c:strRef>
          </c:tx>
          <c:spPr>
            <a:solidFill>
              <a:schemeClr val="accent3"/>
            </a:solidFill>
            <a:ln>
              <a:noFill/>
            </a:ln>
            <a:effectLst/>
          </c:spPr>
          <c:invertIfNegative val="0"/>
          <c:dLbls>
            <c:spPr>
              <a:solidFill>
                <a:schemeClr val="lt1"/>
              </a:solidFill>
              <a:ln w="25400" cap="flat" cmpd="sng" algn="ctr">
                <a:solidFill>
                  <a:schemeClr val="accent3"/>
                </a:solidFill>
                <a:prstDash val="solid"/>
              </a:ln>
              <a:effectLst/>
            </c:spPr>
            <c:txPr>
              <a:bodyPr rot="0" spcFirstLastPara="1" vertOverflow="ellipsis" vert="horz" wrap="square" anchor="ctr" anchorCtr="1"/>
              <a:lstStyle/>
              <a:p>
                <a:pPr>
                  <a:defRPr sz="900" b="1" i="0" u="none" strike="noStrike" kern="1200" baseline="0">
                    <a:solidFill>
                      <a:schemeClr val="dk1"/>
                    </a:solidFill>
                    <a:latin typeface="+mn-lt"/>
                    <a:ea typeface="+mn-ea"/>
                    <a:cs typeface="+mn-cs"/>
                  </a:defRPr>
                </a:pPr>
                <a:endParaRPr lang="ru-RU"/>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35000"/>
                          <a:lumOff val="65000"/>
                        </a:schemeClr>
                      </a:solidFill>
                    </a:ln>
                    <a:effectLst/>
                  </c:spPr>
                </c15:leaderLines>
              </c:ext>
            </c:extLst>
          </c:dLbls>
          <c:val>
            <c:numRef>
              <c:f>Инфографика!$C$13:$J$13</c:f>
              <c:numCache>
                <c:formatCode>General</c:formatCode>
                <c:ptCount val="8"/>
                <c:pt idx="0">
                  <c:v>107.8</c:v>
                </c:pt>
                <c:pt idx="1">
                  <c:v>107.4</c:v>
                </c:pt>
                <c:pt idx="2">
                  <c:v>106</c:v>
                </c:pt>
                <c:pt idx="3">
                  <c:v>104.8</c:v>
                </c:pt>
                <c:pt idx="4">
                  <c:v>107.4</c:v>
                </c:pt>
                <c:pt idx="5">
                  <c:v>113.6</c:v>
                </c:pt>
                <c:pt idx="6">
                  <c:v>108.5</c:v>
                </c:pt>
                <c:pt idx="7">
                  <c:v>107.1</c:v>
                </c:pt>
              </c:numCache>
            </c:numRef>
          </c:val>
          <c:extLst>
            <c:ext xmlns:c16="http://schemas.microsoft.com/office/drawing/2014/chart" uri="{C3380CC4-5D6E-409C-BE32-E72D297353CC}">
              <c16:uniqueId val="{00000009-5956-4D24-9228-7B41CB9DB76F}"/>
            </c:ext>
          </c:extLst>
        </c:ser>
        <c:dLbls>
          <c:showLegendKey val="0"/>
          <c:showVal val="1"/>
          <c:showCatName val="0"/>
          <c:showSerName val="0"/>
          <c:showPercent val="0"/>
          <c:showBubbleSize val="0"/>
        </c:dLbls>
        <c:gapWidth val="150"/>
        <c:axId val="108296064"/>
        <c:axId val="108297600"/>
      </c:barChart>
      <c:catAx>
        <c:axId val="108296064"/>
        <c:scaling>
          <c:orientation val="minMax"/>
        </c:scaling>
        <c:delete val="0"/>
        <c:axPos val="b"/>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1000" b="1" i="0" u="none" strike="noStrike" kern="1200" baseline="0">
                <a:solidFill>
                  <a:sysClr val="windowText" lastClr="000000"/>
                </a:solidFill>
                <a:latin typeface="Century Gothic" panose="020B0502020202020204" pitchFamily="34" charset="0"/>
                <a:ea typeface="+mn-ea"/>
                <a:cs typeface="+mn-cs"/>
              </a:defRPr>
            </a:pPr>
            <a:endParaRPr lang="ru-RU"/>
          </a:p>
        </c:txPr>
        <c:crossAx val="108297600"/>
        <c:crosses val="autoZero"/>
        <c:auto val="1"/>
        <c:lblAlgn val="ctr"/>
        <c:lblOffset val="100"/>
        <c:noMultiLvlLbl val="0"/>
      </c:catAx>
      <c:valAx>
        <c:axId val="108297600"/>
        <c:scaling>
          <c:orientation val="minMax"/>
          <c:min val="100"/>
        </c:scaling>
        <c:delete val="1"/>
        <c:axPos val="l"/>
        <c:numFmt formatCode="General" sourceLinked="1"/>
        <c:majorTickMark val="none"/>
        <c:minorTickMark val="none"/>
        <c:tickLblPos val="nextTo"/>
        <c:crossAx val="10829606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1" i="0" u="none" strike="noStrike" kern="1200" baseline="0">
              <a:solidFill>
                <a:sysClr val="windowText" lastClr="000000"/>
              </a:solidFill>
              <a:latin typeface="Century Gothic" panose="020B0502020202020204" pitchFamily="34" charset="0"/>
              <a:ea typeface="+mn-ea"/>
              <a:cs typeface="+mn-cs"/>
            </a:defRPr>
          </a:pPr>
          <a:endParaRPr lang="ru-RU"/>
        </a:p>
      </c:txPr>
    </c:legend>
    <c:plotVisOnly val="1"/>
    <c:dispBlanksAs val="gap"/>
    <c:showDLblsOverMax val="0"/>
  </c:chart>
  <c:spPr>
    <a:solidFill>
      <a:schemeClr val="lt1"/>
    </a:solidFill>
    <a:ln w="9525" cap="flat" cmpd="sng" algn="ctr">
      <a:solidFill>
        <a:schemeClr val="dk1">
          <a:lumMod val="15000"/>
          <a:lumOff val="85000"/>
        </a:schemeClr>
      </a:solidFill>
      <a:round/>
    </a:ln>
    <a:effectLst/>
  </c:spPr>
  <c:txPr>
    <a:bodyPr/>
    <a:lstStyle/>
    <a:p>
      <a:pPr>
        <a:defRPr>
          <a:latin typeface="Century Gothic" panose="020B0502020202020204" pitchFamily="34" charset="0"/>
        </a:defRPr>
      </a:pPr>
      <a:endParaRPr lang="ru-RU"/>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26"/>
    </mc:Choice>
    <mc:Fallback>
      <c:style val="26"/>
    </mc:Fallback>
  </mc:AlternateContent>
  <c:chart>
    <c:autoTitleDeleted val="1"/>
    <c:plotArea>
      <c:layout/>
      <c:barChart>
        <c:barDir val="col"/>
        <c:grouping val="clustered"/>
        <c:varyColors val="0"/>
        <c:ser>
          <c:idx val="0"/>
          <c:order val="0"/>
          <c:tx>
            <c:strRef>
              <c:f>Инфографика!$A$9</c:f>
              <c:strCache>
                <c:ptCount val="1"/>
                <c:pt idx="0">
                  <c:v>Медицинские услуги</c:v>
                </c:pt>
              </c:strCache>
            </c:strRef>
          </c:tx>
          <c:invertIfNegative val="0"/>
          <c:dLbls>
            <c:spPr>
              <a:solidFill>
                <a:schemeClr val="lt1"/>
              </a:solidFill>
              <a:ln w="25400" cap="flat" cmpd="sng" algn="ctr">
                <a:solidFill>
                  <a:schemeClr val="accent1"/>
                </a:solidFill>
                <a:prstDash val="solid"/>
              </a:ln>
              <a:effectLst/>
            </c:spPr>
            <c:txPr>
              <a:bodyPr rot="0" vert="horz"/>
              <a:lstStyle/>
              <a:p>
                <a:pPr>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35000"/>
                          <a:lumOff val="65000"/>
                        </a:schemeClr>
                      </a:solidFill>
                    </a:ln>
                    <a:effectLst/>
                  </c:spPr>
                </c15:leaderLines>
              </c:ext>
            </c:extLst>
          </c:dLbls>
          <c:cat>
            <c:numRef>
              <c:f>Инфографика!$C$3:$J$3</c:f>
              <c:numCache>
                <c:formatCode>General</c:formatCode>
                <c:ptCount val="8"/>
                <c:pt idx="0">
                  <c:v>2010</c:v>
                </c:pt>
                <c:pt idx="1">
                  <c:v>2011</c:v>
                </c:pt>
                <c:pt idx="2">
                  <c:v>2012</c:v>
                </c:pt>
                <c:pt idx="3">
                  <c:v>2013</c:v>
                </c:pt>
                <c:pt idx="4">
                  <c:v>2014</c:v>
                </c:pt>
                <c:pt idx="5">
                  <c:v>2015</c:v>
                </c:pt>
                <c:pt idx="6">
                  <c:v>2016</c:v>
                </c:pt>
                <c:pt idx="7">
                  <c:v>2017</c:v>
                </c:pt>
              </c:numCache>
            </c:numRef>
          </c:cat>
          <c:val>
            <c:numRef>
              <c:f>Инфографика!$C$9:$J$9</c:f>
              <c:numCache>
                <c:formatCode>General</c:formatCode>
                <c:ptCount val="8"/>
                <c:pt idx="0">
                  <c:v>109.2</c:v>
                </c:pt>
                <c:pt idx="1">
                  <c:v>105.6</c:v>
                </c:pt>
                <c:pt idx="2">
                  <c:v>109.5</c:v>
                </c:pt>
                <c:pt idx="3">
                  <c:v>118.9</c:v>
                </c:pt>
                <c:pt idx="4">
                  <c:v>119.5</c:v>
                </c:pt>
                <c:pt idx="5">
                  <c:v>115.6</c:v>
                </c:pt>
                <c:pt idx="6">
                  <c:v>112.5</c:v>
                </c:pt>
                <c:pt idx="7">
                  <c:v>107.5</c:v>
                </c:pt>
              </c:numCache>
            </c:numRef>
          </c:val>
          <c:extLst>
            <c:ext xmlns:c16="http://schemas.microsoft.com/office/drawing/2014/chart" uri="{C3380CC4-5D6E-409C-BE32-E72D297353CC}">
              <c16:uniqueId val="{00000000-F3F8-403D-8B75-FADD7CBEA7FE}"/>
            </c:ext>
          </c:extLst>
        </c:ser>
        <c:ser>
          <c:idx val="1"/>
          <c:order val="1"/>
          <c:tx>
            <c:strRef>
              <c:f>Инфографика!$A$13</c:f>
              <c:strCache>
                <c:ptCount val="1"/>
                <c:pt idx="0">
                  <c:v>Индекс потребительских цен</c:v>
                </c:pt>
              </c:strCache>
            </c:strRef>
          </c:tx>
          <c:invertIfNegative val="0"/>
          <c:dLbls>
            <c:dLbl>
              <c:idx val="0"/>
              <c:layout>
                <c:manualLayout>
                  <c:x val="0"/>
                  <c:y val="0.15641538192822019"/>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F3F8-403D-8B75-FADD7CBEA7FE}"/>
                </c:ext>
              </c:extLst>
            </c:dLbl>
            <c:dLbl>
              <c:idx val="1"/>
              <c:layout>
                <c:manualLayout>
                  <c:x val="0"/>
                  <c:y val="0.17063496210351239"/>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F3F8-403D-8B75-FADD7CBEA7FE}"/>
                </c:ext>
              </c:extLst>
            </c:dLbl>
            <c:dLbl>
              <c:idx val="2"/>
              <c:layout>
                <c:manualLayout>
                  <c:x val="0"/>
                  <c:y val="0.13271608163606557"/>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F3F8-403D-8B75-FADD7CBEA7FE}"/>
                </c:ext>
              </c:extLst>
            </c:dLbl>
            <c:dLbl>
              <c:idx val="3"/>
              <c:layout>
                <c:manualLayout>
                  <c:x val="2.8170863607768792E-3"/>
                  <c:y val="0.1184965014607727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F3F8-403D-8B75-FADD7CBEA7FE}"/>
                </c:ext>
              </c:extLst>
            </c:dLbl>
            <c:dLbl>
              <c:idx val="4"/>
              <c:layout>
                <c:manualLayout>
                  <c:x val="-1.032919733241313E-16"/>
                  <c:y val="0.1564153819282201"/>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F3F8-403D-8B75-FADD7CBEA7FE}"/>
                </c:ext>
              </c:extLst>
            </c:dLbl>
            <c:dLbl>
              <c:idx val="5"/>
              <c:layout>
                <c:manualLayout>
                  <c:x val="-1.032919733241313E-16"/>
                  <c:y val="0.25121258309683786"/>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F3F8-403D-8B75-FADD7CBEA7FE}"/>
                </c:ext>
              </c:extLst>
            </c:dLbl>
            <c:dLbl>
              <c:idx val="6"/>
              <c:layout>
                <c:manualLayout>
                  <c:x val="-1.032919733241313E-16"/>
                  <c:y val="0.1564153819282201"/>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F3F8-403D-8B75-FADD7CBEA7FE}"/>
                </c:ext>
              </c:extLst>
            </c:dLbl>
            <c:dLbl>
              <c:idx val="7"/>
              <c:layout>
                <c:manualLayout>
                  <c:x val="2.8170863607768271E-3"/>
                  <c:y val="0.13745594169449646"/>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F3F8-403D-8B75-FADD7CBEA7FE}"/>
                </c:ext>
              </c:extLst>
            </c:dLbl>
            <c:spPr>
              <a:solidFill>
                <a:schemeClr val="lt1"/>
              </a:solidFill>
              <a:ln w="25400" cap="flat" cmpd="sng" algn="ctr">
                <a:solidFill>
                  <a:schemeClr val="accent2"/>
                </a:solidFill>
                <a:prstDash val="solid"/>
              </a:ln>
              <a:effectLst/>
            </c:spPr>
            <c:txPr>
              <a:bodyPr rot="0" vert="horz"/>
              <a:lstStyle/>
              <a:p>
                <a:pPr>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35000"/>
                          <a:lumOff val="65000"/>
                        </a:schemeClr>
                      </a:solidFill>
                    </a:ln>
                    <a:effectLst/>
                  </c:spPr>
                </c15:leaderLines>
              </c:ext>
            </c:extLst>
          </c:dLbls>
          <c:val>
            <c:numRef>
              <c:f>Инфографика!$C$13:$J$13</c:f>
              <c:numCache>
                <c:formatCode>General</c:formatCode>
                <c:ptCount val="8"/>
                <c:pt idx="0">
                  <c:v>107.8</c:v>
                </c:pt>
                <c:pt idx="1">
                  <c:v>107.4</c:v>
                </c:pt>
                <c:pt idx="2">
                  <c:v>106</c:v>
                </c:pt>
                <c:pt idx="3">
                  <c:v>104.8</c:v>
                </c:pt>
                <c:pt idx="4">
                  <c:v>107.4</c:v>
                </c:pt>
                <c:pt idx="5">
                  <c:v>113.6</c:v>
                </c:pt>
                <c:pt idx="6">
                  <c:v>108.5</c:v>
                </c:pt>
                <c:pt idx="7">
                  <c:v>107.1</c:v>
                </c:pt>
              </c:numCache>
            </c:numRef>
          </c:val>
          <c:extLst>
            <c:ext xmlns:c16="http://schemas.microsoft.com/office/drawing/2014/chart" uri="{C3380CC4-5D6E-409C-BE32-E72D297353CC}">
              <c16:uniqueId val="{00000009-F3F8-403D-8B75-FADD7CBEA7FE}"/>
            </c:ext>
          </c:extLst>
        </c:ser>
        <c:dLbls>
          <c:showLegendKey val="0"/>
          <c:showVal val="1"/>
          <c:showCatName val="0"/>
          <c:showSerName val="0"/>
          <c:showPercent val="0"/>
          <c:showBubbleSize val="0"/>
        </c:dLbls>
        <c:gapWidth val="150"/>
        <c:overlap val="-25"/>
        <c:axId val="108417408"/>
        <c:axId val="108418944"/>
      </c:barChart>
      <c:catAx>
        <c:axId val="108417408"/>
        <c:scaling>
          <c:orientation val="minMax"/>
        </c:scaling>
        <c:delete val="0"/>
        <c:axPos val="b"/>
        <c:numFmt formatCode="General" sourceLinked="1"/>
        <c:majorTickMark val="none"/>
        <c:minorTickMark val="none"/>
        <c:tickLblPos val="nextTo"/>
        <c:txPr>
          <a:bodyPr rot="-60000000" vert="horz"/>
          <a:lstStyle/>
          <a:p>
            <a:pPr>
              <a:defRPr/>
            </a:pPr>
            <a:endParaRPr lang="ru-RU"/>
          </a:p>
        </c:txPr>
        <c:crossAx val="108418944"/>
        <c:crosses val="autoZero"/>
        <c:auto val="1"/>
        <c:lblAlgn val="ctr"/>
        <c:lblOffset val="100"/>
        <c:noMultiLvlLbl val="0"/>
      </c:catAx>
      <c:valAx>
        <c:axId val="108418944"/>
        <c:scaling>
          <c:orientation val="minMax"/>
          <c:min val="100"/>
        </c:scaling>
        <c:delete val="1"/>
        <c:axPos val="l"/>
        <c:numFmt formatCode="General" sourceLinked="1"/>
        <c:majorTickMark val="none"/>
        <c:minorTickMark val="none"/>
        <c:tickLblPos val="nextTo"/>
        <c:crossAx val="108417408"/>
        <c:crosses val="autoZero"/>
        <c:crossBetween val="between"/>
      </c:valAx>
    </c:plotArea>
    <c:legend>
      <c:legendPos val="b"/>
      <c:overlay val="0"/>
      <c:txPr>
        <a:bodyPr rot="0" vert="horz"/>
        <a:lstStyle/>
        <a:p>
          <a:pPr>
            <a:defRPr b="1"/>
          </a:pPr>
          <a:endParaRPr lang="ru-RU"/>
        </a:p>
      </c:txPr>
    </c:legend>
    <c:plotVisOnly val="1"/>
    <c:dispBlanksAs val="gap"/>
    <c:showDLblsOverMax val="0"/>
  </c:chart>
  <c:txPr>
    <a:bodyPr/>
    <a:lstStyle/>
    <a:p>
      <a:pPr>
        <a:defRPr>
          <a:latin typeface="Century Gothic" panose="020B0502020202020204" pitchFamily="34" charset="0"/>
        </a:defRPr>
      </a:pPr>
      <a:endParaRPr lang="ru-RU"/>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10"/>
    </mc:Choice>
    <mc:Fallback>
      <c:style val="10"/>
    </mc:Fallback>
  </mc:AlternateContent>
  <c:chart>
    <c:autoTitleDeleted val="1"/>
    <c:plotArea>
      <c:layout/>
      <c:barChart>
        <c:barDir val="col"/>
        <c:grouping val="clustered"/>
        <c:varyColors val="0"/>
        <c:ser>
          <c:idx val="0"/>
          <c:order val="0"/>
          <c:tx>
            <c:strRef>
              <c:f>Инфографика!$A$10</c:f>
              <c:strCache>
                <c:ptCount val="1"/>
                <c:pt idx="0">
                  <c:v>Стоматологические услуги</c:v>
                </c:pt>
              </c:strCache>
            </c:strRef>
          </c:tx>
          <c:spPr>
            <a:gradFill rotWithShape="1">
              <a:gsLst>
                <a:gs pos="0">
                  <a:schemeClr val="accent5">
                    <a:shade val="51000"/>
                    <a:satMod val="130000"/>
                  </a:schemeClr>
                </a:gs>
                <a:gs pos="80000">
                  <a:schemeClr val="accent5">
                    <a:shade val="93000"/>
                    <a:satMod val="130000"/>
                  </a:schemeClr>
                </a:gs>
                <a:gs pos="100000">
                  <a:schemeClr val="accent5">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solidFill>
                <a:schemeClr val="lt1"/>
              </a:solidFill>
              <a:ln w="25400" cap="flat" cmpd="sng" algn="ctr">
                <a:solidFill>
                  <a:schemeClr val="accent5"/>
                </a:solidFill>
                <a:prstDash val="solid"/>
              </a:ln>
              <a:effectLst/>
            </c:spPr>
            <c:txPr>
              <a:bodyPr rot="0" vert="horz"/>
              <a:lstStyle/>
              <a:p>
                <a:pPr>
                  <a:defRPr>
                    <a:solidFill>
                      <a:schemeClr val="dk1"/>
                    </a:solidFill>
                    <a:latin typeface="Century Gothic" panose="020B0502020202020204" pitchFamily="34" charset="0"/>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35000"/>
                          <a:lumOff val="65000"/>
                        </a:schemeClr>
                      </a:solidFill>
                    </a:ln>
                    <a:effectLst/>
                  </c:spPr>
                </c15:leaderLines>
              </c:ext>
            </c:extLst>
          </c:dLbls>
          <c:cat>
            <c:numRef>
              <c:f>Инфографика!$C$3:$J$3</c:f>
              <c:numCache>
                <c:formatCode>General</c:formatCode>
                <c:ptCount val="8"/>
                <c:pt idx="0">
                  <c:v>2010</c:v>
                </c:pt>
                <c:pt idx="1">
                  <c:v>2011</c:v>
                </c:pt>
                <c:pt idx="2">
                  <c:v>2012</c:v>
                </c:pt>
                <c:pt idx="3">
                  <c:v>2013</c:v>
                </c:pt>
                <c:pt idx="4">
                  <c:v>2014</c:v>
                </c:pt>
                <c:pt idx="5">
                  <c:v>2015</c:v>
                </c:pt>
                <c:pt idx="6">
                  <c:v>2016</c:v>
                </c:pt>
                <c:pt idx="7">
                  <c:v>2017</c:v>
                </c:pt>
              </c:numCache>
            </c:numRef>
          </c:cat>
          <c:val>
            <c:numRef>
              <c:f>Инфографика!$C$10:$J$10</c:f>
              <c:numCache>
                <c:formatCode>General</c:formatCode>
                <c:ptCount val="8"/>
                <c:pt idx="0">
                  <c:v>108.7</c:v>
                </c:pt>
                <c:pt idx="1">
                  <c:v>109</c:v>
                </c:pt>
                <c:pt idx="2">
                  <c:v>110.6</c:v>
                </c:pt>
                <c:pt idx="3">
                  <c:v>108.4</c:v>
                </c:pt>
                <c:pt idx="4">
                  <c:v>111.3</c:v>
                </c:pt>
                <c:pt idx="5">
                  <c:v>110.8</c:v>
                </c:pt>
                <c:pt idx="6">
                  <c:v>107.2</c:v>
                </c:pt>
                <c:pt idx="7">
                  <c:v>108.2</c:v>
                </c:pt>
              </c:numCache>
            </c:numRef>
          </c:val>
          <c:extLst>
            <c:ext xmlns:c16="http://schemas.microsoft.com/office/drawing/2014/chart" uri="{C3380CC4-5D6E-409C-BE32-E72D297353CC}">
              <c16:uniqueId val="{00000000-EBC2-4C53-BD38-DC373ED9C72D}"/>
            </c:ext>
          </c:extLst>
        </c:ser>
        <c:ser>
          <c:idx val="1"/>
          <c:order val="1"/>
          <c:tx>
            <c:strRef>
              <c:f>Инфографика!$A$13</c:f>
              <c:strCache>
                <c:ptCount val="1"/>
                <c:pt idx="0">
                  <c:v>Индекс потребительских цен</c:v>
                </c:pt>
              </c:strCache>
            </c:strRef>
          </c:tx>
          <c:spPr>
            <a:gradFill rotWithShape="1">
              <a:gsLst>
                <a:gs pos="0">
                  <a:schemeClr val="accent4">
                    <a:shade val="51000"/>
                    <a:satMod val="130000"/>
                  </a:schemeClr>
                </a:gs>
                <a:gs pos="80000">
                  <a:schemeClr val="accent4">
                    <a:shade val="93000"/>
                    <a:satMod val="130000"/>
                  </a:schemeClr>
                </a:gs>
                <a:gs pos="100000">
                  <a:schemeClr val="accent4">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dLbl>
              <c:idx val="0"/>
              <c:layout>
                <c:manualLayout>
                  <c:x val="0"/>
                  <c:y val="0.165445582733213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EBC2-4C53-BD38-DC373ED9C72D}"/>
                </c:ext>
              </c:extLst>
            </c:dLbl>
            <c:dLbl>
              <c:idx val="1"/>
              <c:layout>
                <c:manualLayout>
                  <c:x val="-2.5814787715050122E-17"/>
                  <c:y val="0.165445582733213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EBC2-4C53-BD38-DC373ED9C72D}"/>
                </c:ext>
              </c:extLst>
            </c:dLbl>
            <c:dLbl>
              <c:idx val="2"/>
              <c:layout>
                <c:manualLayout>
                  <c:x val="0"/>
                  <c:y val="0.15599154943417257"/>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EBC2-4C53-BD38-DC373ED9C72D}"/>
                </c:ext>
              </c:extLst>
            </c:dLbl>
            <c:dLbl>
              <c:idx val="3"/>
              <c:layout>
                <c:manualLayout>
                  <c:x val="-5.1629575430100133E-17"/>
                  <c:y val="0.1559915494341727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EBC2-4C53-BD38-DC373ED9C72D}"/>
                </c:ext>
              </c:extLst>
            </c:dLbl>
            <c:dLbl>
              <c:idx val="4"/>
              <c:layout>
                <c:manualLayout>
                  <c:x val="-1.0325915086020041E-16"/>
                  <c:y val="0.20798873257889686"/>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EBC2-4C53-BD38-DC373ED9C72D}"/>
                </c:ext>
              </c:extLst>
            </c:dLbl>
            <c:dLbl>
              <c:idx val="5"/>
              <c:layout>
                <c:manualLayout>
                  <c:x val="0"/>
                  <c:y val="0.3545262487140283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EBC2-4C53-BD38-DC373ED9C72D}"/>
                </c:ext>
              </c:extLst>
            </c:dLbl>
            <c:dLbl>
              <c:idx val="6"/>
              <c:layout>
                <c:manualLayout>
                  <c:x val="0"/>
                  <c:y val="0.21271574922841696"/>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EBC2-4C53-BD38-DC373ED9C72D}"/>
                </c:ext>
              </c:extLst>
            </c:dLbl>
            <c:dLbl>
              <c:idx val="7"/>
              <c:layout>
                <c:manualLayout>
                  <c:x val="-1.0325915086020041E-16"/>
                  <c:y val="0.1890806659808150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EBC2-4C53-BD38-DC373ED9C72D}"/>
                </c:ext>
              </c:extLst>
            </c:dLbl>
            <c:spPr>
              <a:solidFill>
                <a:schemeClr val="lt1"/>
              </a:solidFill>
              <a:ln w="25400" cap="flat" cmpd="sng" algn="ctr">
                <a:solidFill>
                  <a:schemeClr val="accent4"/>
                </a:solidFill>
                <a:prstDash val="solid"/>
              </a:ln>
              <a:effectLst/>
            </c:spPr>
            <c:txPr>
              <a:bodyPr rot="0" vert="horz"/>
              <a:lstStyle/>
              <a:p>
                <a:pPr>
                  <a:defRPr>
                    <a:solidFill>
                      <a:schemeClr val="dk1"/>
                    </a:solidFill>
                    <a:latin typeface="Century Gothic" panose="020B0502020202020204" pitchFamily="34" charset="0"/>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35000"/>
                          <a:lumOff val="65000"/>
                        </a:schemeClr>
                      </a:solidFill>
                    </a:ln>
                    <a:effectLst/>
                  </c:spPr>
                </c15:leaderLines>
              </c:ext>
            </c:extLst>
          </c:dLbls>
          <c:val>
            <c:numRef>
              <c:f>Инфографика!$C$13:$J$13</c:f>
              <c:numCache>
                <c:formatCode>General</c:formatCode>
                <c:ptCount val="8"/>
                <c:pt idx="0">
                  <c:v>107.8</c:v>
                </c:pt>
                <c:pt idx="1">
                  <c:v>107.4</c:v>
                </c:pt>
                <c:pt idx="2">
                  <c:v>106</c:v>
                </c:pt>
                <c:pt idx="3">
                  <c:v>104.8</c:v>
                </c:pt>
                <c:pt idx="4">
                  <c:v>107.4</c:v>
                </c:pt>
                <c:pt idx="5">
                  <c:v>113.6</c:v>
                </c:pt>
                <c:pt idx="6">
                  <c:v>108.5</c:v>
                </c:pt>
                <c:pt idx="7">
                  <c:v>107.1</c:v>
                </c:pt>
              </c:numCache>
            </c:numRef>
          </c:val>
          <c:extLst>
            <c:ext xmlns:c16="http://schemas.microsoft.com/office/drawing/2014/chart" uri="{C3380CC4-5D6E-409C-BE32-E72D297353CC}">
              <c16:uniqueId val="{00000009-EBC2-4C53-BD38-DC373ED9C72D}"/>
            </c:ext>
          </c:extLst>
        </c:ser>
        <c:dLbls>
          <c:showLegendKey val="0"/>
          <c:showVal val="1"/>
          <c:showCatName val="0"/>
          <c:showSerName val="0"/>
          <c:showPercent val="0"/>
          <c:showBubbleSize val="0"/>
        </c:dLbls>
        <c:gapWidth val="150"/>
        <c:overlap val="-25"/>
        <c:axId val="108620416"/>
        <c:axId val="108622208"/>
      </c:barChart>
      <c:catAx>
        <c:axId val="108620416"/>
        <c:scaling>
          <c:orientation val="minMax"/>
        </c:scaling>
        <c:delete val="0"/>
        <c:axPos val="b"/>
        <c:numFmt formatCode="General" sourceLinked="1"/>
        <c:majorTickMark val="none"/>
        <c:minorTickMark val="none"/>
        <c:tickLblPos val="nextTo"/>
        <c:txPr>
          <a:bodyPr rot="-60000000" vert="horz"/>
          <a:lstStyle/>
          <a:p>
            <a:pPr>
              <a:defRPr/>
            </a:pPr>
            <a:endParaRPr lang="ru-RU"/>
          </a:p>
        </c:txPr>
        <c:crossAx val="108622208"/>
        <c:crosses val="autoZero"/>
        <c:auto val="1"/>
        <c:lblAlgn val="ctr"/>
        <c:lblOffset val="100"/>
        <c:noMultiLvlLbl val="0"/>
      </c:catAx>
      <c:valAx>
        <c:axId val="108622208"/>
        <c:scaling>
          <c:orientation val="minMax"/>
          <c:min val="100"/>
        </c:scaling>
        <c:delete val="1"/>
        <c:axPos val="l"/>
        <c:numFmt formatCode="General" sourceLinked="1"/>
        <c:majorTickMark val="none"/>
        <c:minorTickMark val="none"/>
        <c:tickLblPos val="nextTo"/>
        <c:crossAx val="108620416"/>
        <c:crosses val="autoZero"/>
        <c:crossBetween val="between"/>
      </c:valAx>
    </c:plotArea>
    <c:legend>
      <c:legendPos val="b"/>
      <c:overlay val="0"/>
      <c:txPr>
        <a:bodyPr rot="0" vert="horz"/>
        <a:lstStyle/>
        <a:p>
          <a:pPr>
            <a:defRPr/>
          </a:pPr>
          <a:endParaRPr lang="ru-RU"/>
        </a:p>
      </c:txPr>
    </c:legend>
    <c:plotVisOnly val="1"/>
    <c:dispBlanksAs val="gap"/>
    <c:showDLblsOverMax val="0"/>
  </c:chart>
  <c:txPr>
    <a:bodyPr/>
    <a:lstStyle/>
    <a:p>
      <a:pPr>
        <a:defRPr>
          <a:latin typeface="Century Gothic" panose="020B0502020202020204" pitchFamily="34" charset="0"/>
        </a:defRPr>
      </a:pPr>
      <a:endParaRPr lang="ru-RU"/>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10"/>
    </mc:Choice>
    <mc:Fallback>
      <c:style val="10"/>
    </mc:Fallback>
  </mc:AlternateContent>
  <c:chart>
    <c:autoTitleDeleted val="1"/>
    <c:plotArea>
      <c:layout/>
      <c:barChart>
        <c:barDir val="col"/>
        <c:grouping val="clustered"/>
        <c:varyColors val="0"/>
        <c:ser>
          <c:idx val="0"/>
          <c:order val="0"/>
          <c:tx>
            <c:strRef>
              <c:f>Инфографика!$A$11</c:f>
              <c:strCache>
                <c:ptCount val="1"/>
                <c:pt idx="0">
                  <c:v>Парамедицинские услуги</c:v>
                </c:pt>
              </c:strCache>
            </c:strRef>
          </c:tx>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solidFill>
                <a:schemeClr val="lt1"/>
              </a:solidFill>
              <a:ln w="25400" cap="flat" cmpd="sng" algn="ctr">
                <a:solidFill>
                  <a:schemeClr val="accent1"/>
                </a:solidFill>
                <a:prstDash val="solid"/>
              </a:ln>
              <a:effectLst/>
            </c:spPr>
            <c:txPr>
              <a:bodyPr rot="0" vert="horz"/>
              <a:lstStyle/>
              <a:p>
                <a:pPr>
                  <a:defRPr>
                    <a:solidFill>
                      <a:schemeClr val="dk1"/>
                    </a:solidFill>
                    <a:latin typeface="Century Gothic" panose="020B0502020202020204" pitchFamily="34" charset="0"/>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35000"/>
                          <a:lumOff val="65000"/>
                        </a:schemeClr>
                      </a:solidFill>
                    </a:ln>
                    <a:effectLst/>
                  </c:spPr>
                </c15:leaderLines>
              </c:ext>
            </c:extLst>
          </c:dLbls>
          <c:cat>
            <c:numRef>
              <c:f>Инфографика!$C$3:$J$3</c:f>
              <c:numCache>
                <c:formatCode>General</c:formatCode>
                <c:ptCount val="8"/>
                <c:pt idx="0">
                  <c:v>2010</c:v>
                </c:pt>
                <c:pt idx="1">
                  <c:v>2011</c:v>
                </c:pt>
                <c:pt idx="2">
                  <c:v>2012</c:v>
                </c:pt>
                <c:pt idx="3">
                  <c:v>2013</c:v>
                </c:pt>
                <c:pt idx="4">
                  <c:v>2014</c:v>
                </c:pt>
                <c:pt idx="5">
                  <c:v>2015</c:v>
                </c:pt>
                <c:pt idx="6">
                  <c:v>2016</c:v>
                </c:pt>
                <c:pt idx="7">
                  <c:v>2017</c:v>
                </c:pt>
              </c:numCache>
            </c:numRef>
          </c:cat>
          <c:val>
            <c:numRef>
              <c:f>Инфографика!$C$11:$J$11</c:f>
              <c:numCache>
                <c:formatCode>General</c:formatCode>
                <c:ptCount val="8"/>
                <c:pt idx="0">
                  <c:v>110.8</c:v>
                </c:pt>
                <c:pt idx="1">
                  <c:v>105.1</c:v>
                </c:pt>
                <c:pt idx="2">
                  <c:v>107.4</c:v>
                </c:pt>
                <c:pt idx="3">
                  <c:v>109.5</c:v>
                </c:pt>
                <c:pt idx="4">
                  <c:v>108.1</c:v>
                </c:pt>
                <c:pt idx="5">
                  <c:v>109.7</c:v>
                </c:pt>
                <c:pt idx="6">
                  <c:v>111.2</c:v>
                </c:pt>
                <c:pt idx="7">
                  <c:v>107.6</c:v>
                </c:pt>
              </c:numCache>
            </c:numRef>
          </c:val>
          <c:extLst>
            <c:ext xmlns:c16="http://schemas.microsoft.com/office/drawing/2014/chart" uri="{C3380CC4-5D6E-409C-BE32-E72D297353CC}">
              <c16:uniqueId val="{00000000-CB38-4627-9EFD-8B23D4D7EF19}"/>
            </c:ext>
          </c:extLst>
        </c:ser>
        <c:ser>
          <c:idx val="1"/>
          <c:order val="1"/>
          <c:tx>
            <c:strRef>
              <c:f>Инфографика!$A$13</c:f>
              <c:strCache>
                <c:ptCount val="1"/>
                <c:pt idx="0">
                  <c:v>Индекс потребительских цен</c:v>
                </c:pt>
              </c:strCache>
            </c:strRef>
          </c:tx>
          <c:spPr>
            <a:gradFill rotWithShape="1">
              <a:gsLst>
                <a:gs pos="0">
                  <a:schemeClr val="accent6">
                    <a:shade val="51000"/>
                    <a:satMod val="130000"/>
                  </a:schemeClr>
                </a:gs>
                <a:gs pos="80000">
                  <a:schemeClr val="accent6">
                    <a:shade val="93000"/>
                    <a:satMod val="130000"/>
                  </a:schemeClr>
                </a:gs>
                <a:gs pos="100000">
                  <a:schemeClr val="accent6">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dLbl>
              <c:idx val="0"/>
              <c:layout>
                <c:manualLayout>
                  <c:x val="0"/>
                  <c:y val="0.165445582733213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CB38-4627-9EFD-8B23D4D7EF19}"/>
                </c:ext>
              </c:extLst>
            </c:dLbl>
            <c:dLbl>
              <c:idx val="1"/>
              <c:layout>
                <c:manualLayout>
                  <c:x val="0"/>
                  <c:y val="0.23162344362046317"/>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CB38-4627-9EFD-8B23D4D7EF19}"/>
                </c:ext>
              </c:extLst>
            </c:dLbl>
            <c:dLbl>
              <c:idx val="2"/>
              <c:layout>
                <c:manualLayout>
                  <c:x val="0"/>
                  <c:y val="0.15599154943417257"/>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CB38-4627-9EFD-8B23D4D7EF19}"/>
                </c:ext>
              </c:extLst>
            </c:dLbl>
            <c:dLbl>
              <c:idx val="3"/>
              <c:layout>
                <c:manualLayout>
                  <c:x val="-5.1629575430100133E-17"/>
                  <c:y val="0.1559915494341727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CB38-4627-9EFD-8B23D4D7EF19}"/>
                </c:ext>
              </c:extLst>
            </c:dLbl>
            <c:dLbl>
              <c:idx val="4"/>
              <c:layout>
                <c:manualLayout>
                  <c:x val="-1.0325915086020041E-16"/>
                  <c:y val="0.20798873257889686"/>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CB38-4627-9EFD-8B23D4D7EF19}"/>
                </c:ext>
              </c:extLst>
            </c:dLbl>
            <c:dLbl>
              <c:idx val="5"/>
              <c:layout>
                <c:manualLayout>
                  <c:x val="0"/>
                  <c:y val="0.3545262487140283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CB38-4627-9EFD-8B23D4D7EF19}"/>
                </c:ext>
              </c:extLst>
            </c:dLbl>
            <c:dLbl>
              <c:idx val="6"/>
              <c:layout>
                <c:manualLayout>
                  <c:x val="0"/>
                  <c:y val="0.21271574922841696"/>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CB38-4627-9EFD-8B23D4D7EF19}"/>
                </c:ext>
              </c:extLst>
            </c:dLbl>
            <c:dLbl>
              <c:idx val="7"/>
              <c:layout>
                <c:manualLayout>
                  <c:x val="-1.0325915086020041E-16"/>
                  <c:y val="0.1890806659808150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CB38-4627-9EFD-8B23D4D7EF19}"/>
                </c:ext>
              </c:extLst>
            </c:dLbl>
            <c:spPr>
              <a:solidFill>
                <a:schemeClr val="lt1"/>
              </a:solidFill>
              <a:ln w="25400" cap="flat" cmpd="sng" algn="ctr">
                <a:solidFill>
                  <a:schemeClr val="accent6"/>
                </a:solidFill>
                <a:prstDash val="solid"/>
              </a:ln>
              <a:effectLst/>
            </c:spPr>
            <c:txPr>
              <a:bodyPr rot="0" vert="horz"/>
              <a:lstStyle/>
              <a:p>
                <a:pPr>
                  <a:defRPr>
                    <a:solidFill>
                      <a:schemeClr val="dk1"/>
                    </a:solidFill>
                    <a:latin typeface="Century Gothic" panose="020B0502020202020204" pitchFamily="34" charset="0"/>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35000"/>
                          <a:lumOff val="65000"/>
                        </a:schemeClr>
                      </a:solidFill>
                    </a:ln>
                    <a:effectLst/>
                  </c:spPr>
                </c15:leaderLines>
              </c:ext>
            </c:extLst>
          </c:dLbls>
          <c:val>
            <c:numRef>
              <c:f>Инфографика!$C$13:$J$13</c:f>
              <c:numCache>
                <c:formatCode>General</c:formatCode>
                <c:ptCount val="8"/>
                <c:pt idx="0">
                  <c:v>107.8</c:v>
                </c:pt>
                <c:pt idx="1">
                  <c:v>107.4</c:v>
                </c:pt>
                <c:pt idx="2">
                  <c:v>106</c:v>
                </c:pt>
                <c:pt idx="3">
                  <c:v>104.8</c:v>
                </c:pt>
                <c:pt idx="4">
                  <c:v>107.4</c:v>
                </c:pt>
                <c:pt idx="5">
                  <c:v>113.6</c:v>
                </c:pt>
                <c:pt idx="6">
                  <c:v>108.5</c:v>
                </c:pt>
                <c:pt idx="7">
                  <c:v>107.1</c:v>
                </c:pt>
              </c:numCache>
            </c:numRef>
          </c:val>
          <c:extLst>
            <c:ext xmlns:c16="http://schemas.microsoft.com/office/drawing/2014/chart" uri="{C3380CC4-5D6E-409C-BE32-E72D297353CC}">
              <c16:uniqueId val="{00000009-CB38-4627-9EFD-8B23D4D7EF19}"/>
            </c:ext>
          </c:extLst>
        </c:ser>
        <c:dLbls>
          <c:showLegendKey val="0"/>
          <c:showVal val="1"/>
          <c:showCatName val="0"/>
          <c:showSerName val="0"/>
          <c:showPercent val="0"/>
          <c:showBubbleSize val="0"/>
        </c:dLbls>
        <c:gapWidth val="150"/>
        <c:overlap val="-25"/>
        <c:axId val="108676224"/>
        <c:axId val="108677760"/>
      </c:barChart>
      <c:catAx>
        <c:axId val="108676224"/>
        <c:scaling>
          <c:orientation val="minMax"/>
        </c:scaling>
        <c:delete val="0"/>
        <c:axPos val="b"/>
        <c:numFmt formatCode="General" sourceLinked="1"/>
        <c:majorTickMark val="none"/>
        <c:minorTickMark val="none"/>
        <c:tickLblPos val="nextTo"/>
        <c:txPr>
          <a:bodyPr rot="-60000000" vert="horz"/>
          <a:lstStyle/>
          <a:p>
            <a:pPr>
              <a:defRPr/>
            </a:pPr>
            <a:endParaRPr lang="ru-RU"/>
          </a:p>
        </c:txPr>
        <c:crossAx val="108677760"/>
        <c:crosses val="autoZero"/>
        <c:auto val="1"/>
        <c:lblAlgn val="ctr"/>
        <c:lblOffset val="100"/>
        <c:noMultiLvlLbl val="0"/>
      </c:catAx>
      <c:valAx>
        <c:axId val="108677760"/>
        <c:scaling>
          <c:orientation val="minMax"/>
          <c:min val="100"/>
        </c:scaling>
        <c:delete val="1"/>
        <c:axPos val="l"/>
        <c:numFmt formatCode="General" sourceLinked="1"/>
        <c:majorTickMark val="none"/>
        <c:minorTickMark val="none"/>
        <c:tickLblPos val="nextTo"/>
        <c:crossAx val="108676224"/>
        <c:crosses val="autoZero"/>
        <c:crossBetween val="between"/>
      </c:valAx>
    </c:plotArea>
    <c:legend>
      <c:legendPos val="b"/>
      <c:overlay val="0"/>
      <c:txPr>
        <a:bodyPr rot="0" vert="horz"/>
        <a:lstStyle/>
        <a:p>
          <a:pPr>
            <a:defRPr/>
          </a:pPr>
          <a:endParaRPr lang="ru-RU"/>
        </a:p>
      </c:txPr>
    </c:legend>
    <c:plotVisOnly val="1"/>
    <c:dispBlanksAs val="gap"/>
    <c:showDLblsOverMax val="0"/>
  </c:chart>
  <c:txPr>
    <a:bodyPr/>
    <a:lstStyle/>
    <a:p>
      <a:pPr>
        <a:defRPr>
          <a:latin typeface="Century Gothic" panose="020B0502020202020204" pitchFamily="34" charset="0"/>
        </a:defRPr>
      </a:pPr>
      <a:endParaRPr lang="ru-RU"/>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2.0743206674056248E-2"/>
          <c:y val="5.0925925925925923E-2"/>
          <c:w val="0.95851358665188768"/>
          <c:h val="0.55981299212598434"/>
        </c:manualLayout>
      </c:layout>
      <c:barChart>
        <c:barDir val="col"/>
        <c:grouping val="clustered"/>
        <c:varyColors val="0"/>
        <c:ser>
          <c:idx val="0"/>
          <c:order val="0"/>
          <c:tx>
            <c:strRef>
              <c:f>'Инфляция в РК'!$A$27</c:f>
              <c:strCache>
                <c:ptCount val="1"/>
                <c:pt idx="0">
                  <c:v>Накопленная инфляция по РК</c:v>
                </c:pt>
              </c:strCache>
            </c:strRef>
          </c:tx>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a:lstStyle/>
              <a:p>
                <a:pPr>
                  <a:defRPr b="1"/>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val>
            <c:numRef>
              <c:f>'Инфляция в РК'!$B$27</c:f>
              <c:numCache>
                <c:formatCode>0.0</c:formatCode>
                <c:ptCount val="1"/>
                <c:pt idx="0">
                  <c:v>69.150486427813888</c:v>
                </c:pt>
              </c:numCache>
            </c:numRef>
          </c:val>
          <c:extLst>
            <c:ext xmlns:c16="http://schemas.microsoft.com/office/drawing/2014/chart" uri="{C3380CC4-5D6E-409C-BE32-E72D297353CC}">
              <c16:uniqueId val="{00000000-FCD1-4E3B-BFCE-802CD1AD28C5}"/>
            </c:ext>
          </c:extLst>
        </c:ser>
        <c:ser>
          <c:idx val="1"/>
          <c:order val="1"/>
          <c:tx>
            <c:strRef>
              <c:f>'Инфляция в РК'!$A$28</c:f>
              <c:strCache>
                <c:ptCount val="1"/>
                <c:pt idx="0">
                  <c:v>Медикаменты, лечебное оборудование и аппаратура</c:v>
                </c:pt>
              </c:strCache>
            </c:strRef>
          </c:tx>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a:lstStyle/>
              <a:p>
                <a:pPr>
                  <a:defRPr b="1"/>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val>
            <c:numRef>
              <c:f>'Инфляция в РК'!$B$28</c:f>
              <c:numCache>
                <c:formatCode>0.0</c:formatCode>
                <c:ptCount val="1"/>
                <c:pt idx="0">
                  <c:v>102.24530832605123</c:v>
                </c:pt>
              </c:numCache>
            </c:numRef>
          </c:val>
          <c:extLst>
            <c:ext xmlns:c16="http://schemas.microsoft.com/office/drawing/2014/chart" uri="{C3380CC4-5D6E-409C-BE32-E72D297353CC}">
              <c16:uniqueId val="{00000001-FCD1-4E3B-BFCE-802CD1AD28C5}"/>
            </c:ext>
          </c:extLst>
        </c:ser>
        <c:ser>
          <c:idx val="2"/>
          <c:order val="2"/>
          <c:tx>
            <c:strRef>
              <c:f>'Инфляция в РК'!$A$29</c:f>
              <c:strCache>
                <c:ptCount val="1"/>
                <c:pt idx="0">
                  <c:v>Фармацевтические препараты</c:v>
                </c:pt>
              </c:strCache>
            </c:strRef>
          </c:tx>
          <c:spPr>
            <a:solidFill>
              <a:schemeClr val="accent2">
                <a:lumMod val="60000"/>
                <a:lumOff val="40000"/>
              </a:schemeClr>
            </a:soli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a:lstStyle/>
              <a:p>
                <a:pPr>
                  <a:defRPr b="1"/>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val>
            <c:numRef>
              <c:f>'Инфляция в РК'!$B$29</c:f>
              <c:numCache>
                <c:formatCode>0.0</c:formatCode>
                <c:ptCount val="1"/>
                <c:pt idx="0">
                  <c:v>103.59453806848018</c:v>
                </c:pt>
              </c:numCache>
            </c:numRef>
          </c:val>
          <c:extLst>
            <c:ext xmlns:c16="http://schemas.microsoft.com/office/drawing/2014/chart" uri="{C3380CC4-5D6E-409C-BE32-E72D297353CC}">
              <c16:uniqueId val="{00000002-FCD1-4E3B-BFCE-802CD1AD28C5}"/>
            </c:ext>
          </c:extLst>
        </c:ser>
        <c:ser>
          <c:idx val="3"/>
          <c:order val="3"/>
          <c:tx>
            <c:strRef>
              <c:f>'Инфляция в РК'!$A$30</c:f>
              <c:strCache>
                <c:ptCount val="1"/>
                <c:pt idx="0">
                  <c:v>Прочая продукция</c:v>
                </c:pt>
              </c:strCache>
            </c:strRef>
          </c:tx>
          <c:spPr>
            <a:solidFill>
              <a:srgbClr val="FF0000"/>
            </a:soli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a:lstStyle/>
              <a:p>
                <a:pPr>
                  <a:defRPr b="1"/>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val>
            <c:numRef>
              <c:f>'Инфляция в РК'!$B$30</c:f>
              <c:numCache>
                <c:formatCode>0.0</c:formatCode>
                <c:ptCount val="1"/>
                <c:pt idx="0">
                  <c:v>63.553618308695803</c:v>
                </c:pt>
              </c:numCache>
            </c:numRef>
          </c:val>
          <c:extLst>
            <c:ext xmlns:c16="http://schemas.microsoft.com/office/drawing/2014/chart" uri="{C3380CC4-5D6E-409C-BE32-E72D297353CC}">
              <c16:uniqueId val="{00000003-FCD1-4E3B-BFCE-802CD1AD28C5}"/>
            </c:ext>
          </c:extLst>
        </c:ser>
        <c:ser>
          <c:idx val="4"/>
          <c:order val="4"/>
          <c:tx>
            <c:strRef>
              <c:f>'Инфляция в РК'!$A$31</c:f>
              <c:strCache>
                <c:ptCount val="1"/>
                <c:pt idx="0">
                  <c:v>Лечебное оборудование и аппараты</c:v>
                </c:pt>
              </c:strCache>
            </c:strRef>
          </c:tx>
          <c:spPr>
            <a:solidFill>
              <a:schemeClr val="accent2">
                <a:lumMod val="50000"/>
              </a:schemeClr>
            </a:soli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a:lstStyle/>
              <a:p>
                <a:pPr>
                  <a:defRPr b="1"/>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val>
            <c:numRef>
              <c:f>'Инфляция в РК'!$B$31</c:f>
              <c:numCache>
                <c:formatCode>0.0</c:formatCode>
                <c:ptCount val="1"/>
                <c:pt idx="0">
                  <c:v>70.587963281588088</c:v>
                </c:pt>
              </c:numCache>
            </c:numRef>
          </c:val>
          <c:extLst>
            <c:ext xmlns:c16="http://schemas.microsoft.com/office/drawing/2014/chart" uri="{C3380CC4-5D6E-409C-BE32-E72D297353CC}">
              <c16:uniqueId val="{00000004-FCD1-4E3B-BFCE-802CD1AD28C5}"/>
            </c:ext>
          </c:extLst>
        </c:ser>
        <c:ser>
          <c:idx val="5"/>
          <c:order val="5"/>
          <c:tx>
            <c:strRef>
              <c:f>'Инфляция в РК'!$A$32</c:f>
              <c:strCache>
                <c:ptCount val="1"/>
                <c:pt idx="0">
                  <c:v>Амбулаторные услуги</c:v>
                </c:pt>
              </c:strCache>
            </c:strRef>
          </c:tx>
          <c:spPr>
            <a:gradFill rotWithShape="1">
              <a:gsLst>
                <a:gs pos="0">
                  <a:schemeClr val="accent6">
                    <a:shade val="51000"/>
                    <a:satMod val="130000"/>
                  </a:schemeClr>
                </a:gs>
                <a:gs pos="80000">
                  <a:schemeClr val="accent6">
                    <a:shade val="93000"/>
                    <a:satMod val="130000"/>
                  </a:schemeClr>
                </a:gs>
                <a:gs pos="100000">
                  <a:schemeClr val="accent6">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a:lstStyle/>
              <a:p>
                <a:pPr>
                  <a:defRPr b="1"/>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val>
            <c:numRef>
              <c:f>'Инфляция в РК'!$B$32</c:f>
              <c:numCache>
                <c:formatCode>0.0</c:formatCode>
                <c:ptCount val="1"/>
                <c:pt idx="0">
                  <c:v>93.191476672252648</c:v>
                </c:pt>
              </c:numCache>
            </c:numRef>
          </c:val>
          <c:extLst>
            <c:ext xmlns:c16="http://schemas.microsoft.com/office/drawing/2014/chart" uri="{C3380CC4-5D6E-409C-BE32-E72D297353CC}">
              <c16:uniqueId val="{00000005-FCD1-4E3B-BFCE-802CD1AD28C5}"/>
            </c:ext>
          </c:extLst>
        </c:ser>
        <c:ser>
          <c:idx val="6"/>
          <c:order val="6"/>
          <c:tx>
            <c:strRef>
              <c:f>'Инфляция в РК'!$A$33</c:f>
              <c:strCache>
                <c:ptCount val="1"/>
                <c:pt idx="0">
                  <c:v>Медицинские услуги</c:v>
                </c:pt>
              </c:strCache>
            </c:strRef>
          </c:tx>
          <c:spPr>
            <a:gradFill rotWithShape="1">
              <a:gsLst>
                <a:gs pos="0">
                  <a:schemeClr val="accent5">
                    <a:shade val="51000"/>
                    <a:satMod val="130000"/>
                  </a:schemeClr>
                </a:gs>
                <a:gs pos="80000">
                  <a:schemeClr val="accent5">
                    <a:shade val="93000"/>
                    <a:satMod val="130000"/>
                  </a:schemeClr>
                </a:gs>
                <a:gs pos="100000">
                  <a:schemeClr val="accent5">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a:lstStyle/>
              <a:p>
                <a:pPr>
                  <a:defRPr b="1"/>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val>
            <c:numRef>
              <c:f>'Инфляция в РК'!$B$33</c:f>
              <c:numCache>
                <c:formatCode>0.0</c:formatCode>
                <c:ptCount val="1"/>
                <c:pt idx="0">
                  <c:v>129.69239600473114</c:v>
                </c:pt>
              </c:numCache>
            </c:numRef>
          </c:val>
          <c:extLst>
            <c:ext xmlns:c16="http://schemas.microsoft.com/office/drawing/2014/chart" uri="{C3380CC4-5D6E-409C-BE32-E72D297353CC}">
              <c16:uniqueId val="{00000006-FCD1-4E3B-BFCE-802CD1AD28C5}"/>
            </c:ext>
          </c:extLst>
        </c:ser>
        <c:ser>
          <c:idx val="7"/>
          <c:order val="7"/>
          <c:tx>
            <c:strRef>
              <c:f>'Инфляция в РК'!$A$34</c:f>
              <c:strCache>
                <c:ptCount val="1"/>
                <c:pt idx="0">
                  <c:v>Стоматологические услуги</c:v>
                </c:pt>
              </c:strCache>
            </c:strRef>
          </c:tx>
          <c:spPr>
            <a:gradFill rotWithShape="1">
              <a:gsLst>
                <a:gs pos="0">
                  <a:schemeClr val="accent3">
                    <a:shade val="51000"/>
                    <a:satMod val="130000"/>
                  </a:schemeClr>
                </a:gs>
                <a:gs pos="80000">
                  <a:schemeClr val="accent3">
                    <a:shade val="93000"/>
                    <a:satMod val="130000"/>
                  </a:schemeClr>
                </a:gs>
                <a:gs pos="100000">
                  <a:schemeClr val="accent3">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a:lstStyle/>
              <a:p>
                <a:pPr>
                  <a:defRPr b="1"/>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val>
            <c:numRef>
              <c:f>'Инфляция в РК'!$B$34</c:f>
              <c:numCache>
                <c:formatCode>0.0</c:formatCode>
                <c:ptCount val="1"/>
                <c:pt idx="0">
                  <c:v>86.925210319186249</c:v>
                </c:pt>
              </c:numCache>
            </c:numRef>
          </c:val>
          <c:extLst>
            <c:ext xmlns:c16="http://schemas.microsoft.com/office/drawing/2014/chart" uri="{C3380CC4-5D6E-409C-BE32-E72D297353CC}">
              <c16:uniqueId val="{00000007-FCD1-4E3B-BFCE-802CD1AD28C5}"/>
            </c:ext>
          </c:extLst>
        </c:ser>
        <c:ser>
          <c:idx val="8"/>
          <c:order val="8"/>
          <c:tx>
            <c:strRef>
              <c:f>'Инфляция в РК'!$A$35</c:f>
              <c:strCache>
                <c:ptCount val="1"/>
                <c:pt idx="0">
                  <c:v>Парамедицинские услуги</c:v>
                </c:pt>
              </c:strCache>
            </c:strRef>
          </c:tx>
          <c:spPr>
            <a:gradFill rotWithShape="1">
              <a:gsLst>
                <a:gs pos="0">
                  <a:schemeClr val="accent4">
                    <a:shade val="51000"/>
                    <a:satMod val="130000"/>
                  </a:schemeClr>
                </a:gs>
                <a:gs pos="80000">
                  <a:schemeClr val="accent4">
                    <a:shade val="93000"/>
                    <a:satMod val="130000"/>
                  </a:schemeClr>
                </a:gs>
                <a:gs pos="100000">
                  <a:schemeClr val="accent4">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a:lstStyle/>
              <a:p>
                <a:pPr>
                  <a:defRPr b="1"/>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val>
            <c:numRef>
              <c:f>'Инфляция в РК'!$B$35</c:f>
              <c:numCache>
                <c:formatCode>0.0</c:formatCode>
                <c:ptCount val="1"/>
                <c:pt idx="0">
                  <c:v>75.37613579067677</c:v>
                </c:pt>
              </c:numCache>
            </c:numRef>
          </c:val>
          <c:extLst>
            <c:ext xmlns:c16="http://schemas.microsoft.com/office/drawing/2014/chart" uri="{C3380CC4-5D6E-409C-BE32-E72D297353CC}">
              <c16:uniqueId val="{00000008-FCD1-4E3B-BFCE-802CD1AD28C5}"/>
            </c:ext>
          </c:extLst>
        </c:ser>
        <c:dLbls>
          <c:showLegendKey val="0"/>
          <c:showVal val="1"/>
          <c:showCatName val="0"/>
          <c:showSerName val="0"/>
          <c:showPercent val="0"/>
          <c:showBubbleSize val="0"/>
        </c:dLbls>
        <c:gapWidth val="150"/>
        <c:overlap val="-25"/>
        <c:axId val="108781568"/>
        <c:axId val="108783104"/>
      </c:barChart>
      <c:catAx>
        <c:axId val="108781568"/>
        <c:scaling>
          <c:orientation val="minMax"/>
        </c:scaling>
        <c:delete val="1"/>
        <c:axPos val="b"/>
        <c:majorTickMark val="none"/>
        <c:minorTickMark val="none"/>
        <c:tickLblPos val="nextTo"/>
        <c:crossAx val="108783104"/>
        <c:crosses val="autoZero"/>
        <c:auto val="1"/>
        <c:lblAlgn val="ctr"/>
        <c:lblOffset val="100"/>
        <c:noMultiLvlLbl val="0"/>
      </c:catAx>
      <c:valAx>
        <c:axId val="108783104"/>
        <c:scaling>
          <c:orientation val="minMax"/>
        </c:scaling>
        <c:delete val="1"/>
        <c:axPos val="l"/>
        <c:numFmt formatCode="0.0" sourceLinked="1"/>
        <c:majorTickMark val="out"/>
        <c:minorTickMark val="none"/>
        <c:tickLblPos val="nextTo"/>
        <c:crossAx val="108781568"/>
        <c:crosses val="autoZero"/>
        <c:crossBetween val="between"/>
      </c:valAx>
    </c:plotArea>
    <c:legend>
      <c:legendPos val="b"/>
      <c:layout>
        <c:manualLayout>
          <c:xMode val="edge"/>
          <c:yMode val="edge"/>
          <c:x val="5.524790507718565E-3"/>
          <c:y val="0.69870188101487418"/>
          <c:w val="0.97763579413295398"/>
          <c:h val="0.27352034120734953"/>
        </c:manualLayout>
      </c:layout>
      <c:overlay val="0"/>
    </c:legend>
    <c:plotVisOnly val="1"/>
    <c:dispBlanksAs val="gap"/>
    <c:showDLblsOverMax val="0"/>
  </c:chart>
  <c:txPr>
    <a:bodyPr/>
    <a:lstStyle/>
    <a:p>
      <a:pPr>
        <a:defRPr>
          <a:latin typeface="Century Gothic" panose="020B0502020202020204" pitchFamily="34" charset="0"/>
        </a:defRPr>
      </a:pPr>
      <a:endParaRPr lang="ru-RU"/>
    </a:p>
  </c:txPr>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D60336-3455-4AE0-940A-7F8B82C1AC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41</Pages>
  <Words>10558</Words>
  <Characters>60186</Characters>
  <Application>Microsoft Office Word</Application>
  <DocSecurity>0</DocSecurity>
  <Lines>501</Lines>
  <Paragraphs>141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Загидуллина Галина Наильевна</dc:creator>
  <cp:keywords/>
  <dc:description/>
  <cp:lastModifiedBy>Admin</cp:lastModifiedBy>
  <cp:revision>2</cp:revision>
  <cp:lastPrinted>2018-12-25T05:29:00Z</cp:lastPrinted>
  <dcterms:created xsi:type="dcterms:W3CDTF">2018-12-25T05:32:00Z</dcterms:created>
  <dcterms:modified xsi:type="dcterms:W3CDTF">2018-12-25T05:32:00Z</dcterms:modified>
</cp:coreProperties>
</file>